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61648" w14:textId="3F38D250" w:rsidR="00CF4B4C" w:rsidRPr="00BC4E44" w:rsidRDefault="00442FB1" w:rsidP="00E35F40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BC4E44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COMENTÁRIO</w:t>
      </w:r>
      <w:r w:rsidR="0090496F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S</w:t>
      </w:r>
      <w:r w:rsidRPr="00BC4E44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À RESOLUÇÃO </w:t>
      </w:r>
      <w:r w:rsidR="005A6733" w:rsidRPr="00BC4E44">
        <w:rPr>
          <w:rFonts w:ascii="Times New Roman" w:hAnsi="Times New Roman" w:cs="Times New Roman"/>
          <w:b/>
          <w:bCs/>
          <w:color w:val="000000" w:themeColor="text1"/>
        </w:rPr>
        <w:t>CNJ</w:t>
      </w:r>
      <w:r w:rsidR="00F96345" w:rsidRPr="00BC4E44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BC4E44">
        <w:rPr>
          <w:rFonts w:ascii="Times New Roman" w:hAnsi="Times New Roman" w:cs="Times New Roman"/>
          <w:b/>
          <w:bCs/>
          <w:color w:val="000000" w:themeColor="text1"/>
        </w:rPr>
        <w:t>N</w:t>
      </w:r>
      <w:r w:rsidR="00740C0A" w:rsidRPr="00BC4E44">
        <w:rPr>
          <w:rFonts w:ascii="Times New Roman" w:hAnsi="Times New Roman" w:cs="Times New Roman"/>
          <w:b/>
          <w:bCs/>
          <w:color w:val="000000" w:themeColor="text1"/>
        </w:rPr>
        <w:t>º</w:t>
      </w:r>
      <w:r w:rsidR="005C47D0">
        <w:rPr>
          <w:rFonts w:ascii="Times New Roman" w:hAnsi="Times New Roman" w:cs="Times New Roman"/>
          <w:b/>
          <w:bCs/>
          <w:color w:val="000000" w:themeColor="text1"/>
        </w:rPr>
        <w:t>.</w:t>
      </w:r>
      <w:r w:rsidR="00740C0A" w:rsidRPr="00BC4E44">
        <w:rPr>
          <w:rFonts w:ascii="Times New Roman" w:hAnsi="Times New Roman" w:cs="Times New Roman"/>
          <w:b/>
          <w:bCs/>
          <w:color w:val="000000" w:themeColor="text1"/>
        </w:rPr>
        <w:t xml:space="preserve"> 680</w:t>
      </w:r>
      <w:r w:rsidR="00453808" w:rsidRPr="00BC4E44">
        <w:rPr>
          <w:rFonts w:ascii="Times New Roman" w:hAnsi="Times New Roman" w:cs="Times New Roman"/>
          <w:b/>
          <w:bCs/>
          <w:color w:val="000000" w:themeColor="text1"/>
        </w:rPr>
        <w:t>/</w:t>
      </w:r>
      <w:r w:rsidR="00740C0A" w:rsidRPr="00BC4E44">
        <w:rPr>
          <w:rFonts w:ascii="Times New Roman" w:hAnsi="Times New Roman" w:cs="Times New Roman"/>
          <w:b/>
          <w:bCs/>
          <w:color w:val="000000" w:themeColor="text1"/>
        </w:rPr>
        <w:t>2026</w:t>
      </w:r>
    </w:p>
    <w:p w14:paraId="6075C246" w14:textId="77777777" w:rsidR="00A00129" w:rsidRPr="00BC4E44" w:rsidRDefault="00A00129" w:rsidP="00E35F40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536D07FC" w14:textId="77777777" w:rsidR="00A00129" w:rsidRPr="00BC4E44" w:rsidRDefault="00A00129" w:rsidP="00E35F40">
      <w:pPr>
        <w:spacing w:after="0" w:line="360" w:lineRule="auto"/>
        <w:jc w:val="right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>Cecilia Mello</w:t>
      </w:r>
      <w:r w:rsidRPr="00BC4E44">
        <w:rPr>
          <w:rStyle w:val="Refdenotaderodap"/>
          <w:rFonts w:ascii="Times New Roman" w:hAnsi="Times New Roman" w:cs="Times New Roman"/>
          <w:color w:val="000000" w:themeColor="text1"/>
        </w:rPr>
        <w:footnoteReference w:id="1"/>
      </w:r>
    </w:p>
    <w:p w14:paraId="3B2CE620" w14:textId="77777777" w:rsidR="00A00129" w:rsidRPr="00BC4E44" w:rsidRDefault="00A00129" w:rsidP="00E35F40">
      <w:pPr>
        <w:spacing w:after="0" w:line="360" w:lineRule="auto"/>
        <w:jc w:val="right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>Flávia Silva Pinto Amorim</w:t>
      </w:r>
      <w:r w:rsidRPr="00BC4E44">
        <w:rPr>
          <w:rStyle w:val="Refdenotaderodap"/>
          <w:rFonts w:ascii="Times New Roman" w:hAnsi="Times New Roman" w:cs="Times New Roman"/>
          <w:color w:val="000000" w:themeColor="text1"/>
        </w:rPr>
        <w:footnoteReference w:id="2"/>
      </w:r>
    </w:p>
    <w:p w14:paraId="7D98D947" w14:textId="77777777" w:rsidR="00CF4B4C" w:rsidRPr="00BC4E44" w:rsidRDefault="00CF4B4C" w:rsidP="00E35F4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3CE1659" w14:textId="5D2CA3D3" w:rsidR="00B000A9" w:rsidRPr="00BC4E44" w:rsidRDefault="00B000A9" w:rsidP="00E35F40">
      <w:pPr>
        <w:pStyle w:val="PargrafodaLista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C4E44">
        <w:rPr>
          <w:rFonts w:ascii="Times New Roman" w:hAnsi="Times New Roman" w:cs="Times New Roman"/>
          <w:b/>
          <w:bCs/>
          <w:color w:val="000000" w:themeColor="text1"/>
        </w:rPr>
        <w:t>Identificação e objeto da norma</w:t>
      </w:r>
    </w:p>
    <w:p w14:paraId="4A029DDE" w14:textId="20A3DF21" w:rsidR="00A00129" w:rsidRPr="00BC4E44" w:rsidRDefault="00453808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 xml:space="preserve">Em 4 de maio de 2026, o Conselho Nacional de Justiça (CNJ) </w:t>
      </w:r>
      <w:r w:rsidR="00CB2370" w:rsidRPr="00BC4E44">
        <w:rPr>
          <w:rFonts w:ascii="Times New Roman" w:hAnsi="Times New Roman" w:cs="Times New Roman"/>
          <w:color w:val="000000" w:themeColor="text1"/>
        </w:rPr>
        <w:t>publicou a Resolução nº</w:t>
      </w:r>
      <w:r w:rsidR="001E14CC">
        <w:rPr>
          <w:rFonts w:ascii="Times New Roman" w:hAnsi="Times New Roman" w:cs="Times New Roman"/>
          <w:color w:val="000000" w:themeColor="text1"/>
        </w:rPr>
        <w:t>.</w:t>
      </w:r>
      <w:r w:rsidR="00CB2370" w:rsidRPr="00BC4E44">
        <w:rPr>
          <w:rFonts w:ascii="Times New Roman" w:hAnsi="Times New Roman" w:cs="Times New Roman"/>
          <w:color w:val="000000" w:themeColor="text1"/>
        </w:rPr>
        <w:t xml:space="preserve"> 680</w:t>
      </w:r>
      <w:r w:rsidR="00E32DB2" w:rsidRPr="00BC4E44">
        <w:rPr>
          <w:rStyle w:val="Refdenotaderodap"/>
          <w:rFonts w:ascii="Times New Roman" w:hAnsi="Times New Roman" w:cs="Times New Roman"/>
          <w:color w:val="000000" w:themeColor="text1"/>
        </w:rPr>
        <w:footnoteReference w:id="3"/>
      </w:r>
      <w:r w:rsidR="00684B53" w:rsidRPr="00BC4E44">
        <w:rPr>
          <w:rFonts w:ascii="Times New Roman" w:hAnsi="Times New Roman" w:cs="Times New Roman"/>
          <w:color w:val="000000" w:themeColor="text1"/>
        </w:rPr>
        <w:t xml:space="preserve">, com a finalidade de </w:t>
      </w:r>
      <w:r w:rsidR="00696708" w:rsidRPr="00BC4E44">
        <w:rPr>
          <w:rFonts w:ascii="Times New Roman" w:hAnsi="Times New Roman" w:cs="Times New Roman"/>
          <w:color w:val="000000" w:themeColor="text1"/>
        </w:rPr>
        <w:t>estabelece</w:t>
      </w:r>
      <w:r w:rsidR="00252297" w:rsidRPr="00BC4E44">
        <w:rPr>
          <w:rFonts w:ascii="Times New Roman" w:hAnsi="Times New Roman" w:cs="Times New Roman"/>
          <w:color w:val="000000" w:themeColor="text1"/>
        </w:rPr>
        <w:t>r</w:t>
      </w:r>
      <w:r w:rsidR="00696708" w:rsidRPr="00BC4E44">
        <w:rPr>
          <w:rFonts w:ascii="Times New Roman" w:hAnsi="Times New Roman" w:cs="Times New Roman"/>
          <w:color w:val="000000" w:themeColor="text1"/>
        </w:rPr>
        <w:t xml:space="preserve"> medidas de proteção à dignidade de vítimas e testemunhas nos procedimentos administrativos disciplinares que apurem infrações contra a dignidade sexual ou violência contra a mulher. </w:t>
      </w:r>
      <w:r w:rsidR="00901D84" w:rsidRPr="00BC4E44">
        <w:rPr>
          <w:rFonts w:ascii="Times New Roman" w:hAnsi="Times New Roman" w:cs="Times New Roman"/>
          <w:color w:val="000000" w:themeColor="text1"/>
        </w:rPr>
        <w:t>A</w:t>
      </w:r>
      <w:r w:rsidR="0095527F" w:rsidRPr="00BC4E44">
        <w:rPr>
          <w:rFonts w:ascii="Times New Roman" w:hAnsi="Times New Roman" w:cs="Times New Roman"/>
          <w:color w:val="000000" w:themeColor="text1"/>
        </w:rPr>
        <w:t>o a</w:t>
      </w:r>
      <w:r w:rsidR="00901D84" w:rsidRPr="00BC4E44">
        <w:rPr>
          <w:rFonts w:ascii="Times New Roman" w:hAnsi="Times New Roman" w:cs="Times New Roman"/>
          <w:color w:val="000000" w:themeColor="text1"/>
        </w:rPr>
        <w:t>crescenta</w:t>
      </w:r>
      <w:r w:rsidR="0095527F" w:rsidRPr="00BC4E44">
        <w:rPr>
          <w:rFonts w:ascii="Times New Roman" w:hAnsi="Times New Roman" w:cs="Times New Roman"/>
          <w:color w:val="000000" w:themeColor="text1"/>
        </w:rPr>
        <w:t xml:space="preserve">r </w:t>
      </w:r>
      <w:r w:rsidR="00901D84" w:rsidRPr="00BC4E44">
        <w:rPr>
          <w:rFonts w:ascii="Times New Roman" w:hAnsi="Times New Roman" w:cs="Times New Roman"/>
          <w:color w:val="000000" w:themeColor="text1"/>
        </w:rPr>
        <w:t xml:space="preserve">o artigo 18-A, a </w:t>
      </w:r>
      <w:r w:rsidR="00252297" w:rsidRPr="00BC4E44">
        <w:rPr>
          <w:rFonts w:ascii="Times New Roman" w:hAnsi="Times New Roman" w:cs="Times New Roman"/>
          <w:color w:val="000000" w:themeColor="text1"/>
        </w:rPr>
        <w:t>norma atualiza a Resolução CNJ nº</w:t>
      </w:r>
      <w:r w:rsidR="001E14CC">
        <w:rPr>
          <w:rFonts w:ascii="Times New Roman" w:hAnsi="Times New Roman" w:cs="Times New Roman"/>
          <w:color w:val="000000" w:themeColor="text1"/>
        </w:rPr>
        <w:t>.</w:t>
      </w:r>
      <w:r w:rsidR="00252297" w:rsidRPr="00BC4E44">
        <w:rPr>
          <w:rFonts w:ascii="Times New Roman" w:hAnsi="Times New Roman" w:cs="Times New Roman"/>
          <w:color w:val="000000" w:themeColor="text1"/>
        </w:rPr>
        <w:t xml:space="preserve"> 135/2011</w:t>
      </w:r>
      <w:r w:rsidR="00252297" w:rsidRPr="00BC4E44">
        <w:rPr>
          <w:rStyle w:val="Refdenotaderodap"/>
          <w:rFonts w:ascii="Times New Roman" w:hAnsi="Times New Roman" w:cs="Times New Roman"/>
          <w:color w:val="000000" w:themeColor="text1"/>
        </w:rPr>
        <w:footnoteReference w:id="4"/>
      </w:r>
      <w:r w:rsidR="00901D84" w:rsidRPr="00BC4E44">
        <w:rPr>
          <w:rFonts w:ascii="Times New Roman" w:hAnsi="Times New Roman" w:cs="Times New Roman"/>
          <w:color w:val="000000" w:themeColor="text1"/>
        </w:rPr>
        <w:t xml:space="preserve">, que </w:t>
      </w:r>
      <w:r w:rsidR="009A59A8" w:rsidRPr="00BC4E44">
        <w:rPr>
          <w:rFonts w:ascii="Times New Roman" w:hAnsi="Times New Roman" w:cs="Times New Roman"/>
          <w:color w:val="000000" w:themeColor="text1"/>
        </w:rPr>
        <w:t>regula o procedimento administrativo disciplinar aplicável a magistrados.</w:t>
      </w:r>
    </w:p>
    <w:p w14:paraId="7BEFAFAF" w14:textId="601F8C63" w:rsidR="009F6C19" w:rsidRPr="00BC4E44" w:rsidRDefault="008047CE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 xml:space="preserve">Sob a perspectiva prática, </w:t>
      </w:r>
      <w:r w:rsidR="007E6F23" w:rsidRPr="00BC4E44">
        <w:rPr>
          <w:rFonts w:ascii="Times New Roman" w:hAnsi="Times New Roman" w:cs="Times New Roman"/>
          <w:color w:val="000000" w:themeColor="text1"/>
        </w:rPr>
        <w:t xml:space="preserve">no campo de aplicação da norma, busca-se proibir </w:t>
      </w:r>
      <w:r w:rsidR="00673A8A" w:rsidRPr="00BC4E44">
        <w:rPr>
          <w:rFonts w:ascii="Times New Roman" w:hAnsi="Times New Roman" w:cs="Times New Roman"/>
          <w:color w:val="000000" w:themeColor="text1"/>
        </w:rPr>
        <w:t>menções</w:t>
      </w:r>
      <w:r w:rsidR="001412B5" w:rsidRPr="00BC4E44">
        <w:rPr>
          <w:rFonts w:ascii="Times New Roman" w:hAnsi="Times New Roman" w:cs="Times New Roman"/>
          <w:color w:val="000000" w:themeColor="text1"/>
        </w:rPr>
        <w:t xml:space="preserve"> a aspectos da vida privada d</w:t>
      </w:r>
      <w:r w:rsidR="00C8127B" w:rsidRPr="00BC4E44">
        <w:rPr>
          <w:rFonts w:ascii="Times New Roman" w:hAnsi="Times New Roman" w:cs="Times New Roman"/>
          <w:color w:val="000000" w:themeColor="text1"/>
        </w:rPr>
        <w:t>e</w:t>
      </w:r>
      <w:r w:rsidR="001412B5" w:rsidRPr="00BC4E44">
        <w:rPr>
          <w:rFonts w:ascii="Times New Roman" w:hAnsi="Times New Roman" w:cs="Times New Roman"/>
          <w:color w:val="000000" w:themeColor="text1"/>
        </w:rPr>
        <w:t xml:space="preserve"> vítima</w:t>
      </w:r>
      <w:r w:rsidR="00C8127B" w:rsidRPr="00BC4E44">
        <w:rPr>
          <w:rFonts w:ascii="Times New Roman" w:hAnsi="Times New Roman" w:cs="Times New Roman"/>
          <w:color w:val="000000" w:themeColor="text1"/>
        </w:rPr>
        <w:t>s</w:t>
      </w:r>
      <w:r w:rsidR="001412B5" w:rsidRPr="00BC4E44">
        <w:rPr>
          <w:rFonts w:ascii="Times New Roman" w:hAnsi="Times New Roman" w:cs="Times New Roman"/>
          <w:color w:val="000000" w:themeColor="text1"/>
        </w:rPr>
        <w:t xml:space="preserve"> ou</w:t>
      </w:r>
      <w:r w:rsidR="00731CFA" w:rsidRPr="00BC4E44">
        <w:rPr>
          <w:rFonts w:ascii="Times New Roman" w:hAnsi="Times New Roman" w:cs="Times New Roman"/>
          <w:color w:val="000000" w:themeColor="text1"/>
        </w:rPr>
        <w:t xml:space="preserve"> </w:t>
      </w:r>
      <w:r w:rsidR="001412B5" w:rsidRPr="00BC4E44">
        <w:rPr>
          <w:rFonts w:ascii="Times New Roman" w:hAnsi="Times New Roman" w:cs="Times New Roman"/>
          <w:color w:val="000000" w:themeColor="text1"/>
        </w:rPr>
        <w:t>testemunha</w:t>
      </w:r>
      <w:r w:rsidR="00731CFA" w:rsidRPr="00BC4E44">
        <w:rPr>
          <w:rFonts w:ascii="Times New Roman" w:hAnsi="Times New Roman" w:cs="Times New Roman"/>
          <w:color w:val="000000" w:themeColor="text1"/>
        </w:rPr>
        <w:t>s</w:t>
      </w:r>
      <w:r w:rsidR="00364D38" w:rsidRPr="00BC4E44">
        <w:rPr>
          <w:rFonts w:ascii="Times New Roman" w:hAnsi="Times New Roman" w:cs="Times New Roman"/>
          <w:color w:val="000000" w:themeColor="text1"/>
        </w:rPr>
        <w:t xml:space="preserve"> sem relação com os fatos em apuração</w:t>
      </w:r>
      <w:r w:rsidR="001412B5" w:rsidRPr="00BC4E44">
        <w:rPr>
          <w:rFonts w:ascii="Times New Roman" w:hAnsi="Times New Roman" w:cs="Times New Roman"/>
          <w:color w:val="000000" w:themeColor="text1"/>
        </w:rPr>
        <w:t xml:space="preserve">, o uso de linguagem ofensiva, a utilização de materiais ou </w:t>
      </w:r>
      <w:r w:rsidR="00834565" w:rsidRPr="00BC4E44">
        <w:rPr>
          <w:rFonts w:ascii="Times New Roman" w:hAnsi="Times New Roman" w:cs="Times New Roman"/>
          <w:color w:val="000000" w:themeColor="text1"/>
        </w:rPr>
        <w:t>informações</w:t>
      </w:r>
      <w:r w:rsidR="001412B5" w:rsidRPr="00BC4E44">
        <w:rPr>
          <w:rFonts w:ascii="Times New Roman" w:hAnsi="Times New Roman" w:cs="Times New Roman"/>
          <w:color w:val="000000" w:themeColor="text1"/>
        </w:rPr>
        <w:t xml:space="preserve"> que atentem contra a dignidade d</w:t>
      </w:r>
      <w:r w:rsidR="00C8127B" w:rsidRPr="00BC4E44">
        <w:rPr>
          <w:rFonts w:ascii="Times New Roman" w:hAnsi="Times New Roman" w:cs="Times New Roman"/>
          <w:color w:val="000000" w:themeColor="text1"/>
        </w:rPr>
        <w:t>e</w:t>
      </w:r>
      <w:r w:rsidR="001412B5" w:rsidRPr="00BC4E44">
        <w:rPr>
          <w:rFonts w:ascii="Times New Roman" w:hAnsi="Times New Roman" w:cs="Times New Roman"/>
          <w:color w:val="000000" w:themeColor="text1"/>
        </w:rPr>
        <w:t xml:space="preserve"> vítima</w:t>
      </w:r>
      <w:r w:rsidR="00C8127B" w:rsidRPr="00BC4E44">
        <w:rPr>
          <w:rFonts w:ascii="Times New Roman" w:hAnsi="Times New Roman" w:cs="Times New Roman"/>
          <w:color w:val="000000" w:themeColor="text1"/>
        </w:rPr>
        <w:t>s</w:t>
      </w:r>
      <w:r w:rsidR="007805BE" w:rsidRPr="00BC4E44">
        <w:rPr>
          <w:rFonts w:ascii="Times New Roman" w:hAnsi="Times New Roman" w:cs="Times New Roman"/>
          <w:color w:val="000000" w:themeColor="text1"/>
        </w:rPr>
        <w:t xml:space="preserve"> ou testemunha</w:t>
      </w:r>
      <w:r w:rsidR="00C8127B" w:rsidRPr="00BC4E44">
        <w:rPr>
          <w:rFonts w:ascii="Times New Roman" w:hAnsi="Times New Roman" w:cs="Times New Roman"/>
          <w:color w:val="000000" w:themeColor="text1"/>
        </w:rPr>
        <w:t>s</w:t>
      </w:r>
      <w:r w:rsidR="001412B5" w:rsidRPr="00BC4E44">
        <w:rPr>
          <w:rFonts w:ascii="Times New Roman" w:hAnsi="Times New Roman" w:cs="Times New Roman"/>
          <w:color w:val="000000" w:themeColor="text1"/>
        </w:rPr>
        <w:t>, bem como a exposição da vida íntima pregressa, inclusive escolhas afetivas</w:t>
      </w:r>
      <w:r w:rsidR="00CF7115" w:rsidRPr="00BC4E44">
        <w:rPr>
          <w:rFonts w:ascii="Times New Roman" w:hAnsi="Times New Roman" w:cs="Times New Roman"/>
          <w:color w:val="000000" w:themeColor="text1"/>
        </w:rPr>
        <w:t xml:space="preserve"> e</w:t>
      </w:r>
      <w:r w:rsidR="001412B5" w:rsidRPr="00BC4E44">
        <w:rPr>
          <w:rFonts w:ascii="Times New Roman" w:hAnsi="Times New Roman" w:cs="Times New Roman"/>
          <w:color w:val="000000" w:themeColor="text1"/>
        </w:rPr>
        <w:t xml:space="preserve"> comportamentos</w:t>
      </w:r>
      <w:r w:rsidR="00CF7115" w:rsidRPr="00BC4E44">
        <w:rPr>
          <w:rFonts w:ascii="Times New Roman" w:hAnsi="Times New Roman" w:cs="Times New Roman"/>
          <w:color w:val="000000" w:themeColor="text1"/>
        </w:rPr>
        <w:t xml:space="preserve">, com o intuito de desqualificar a </w:t>
      </w:r>
      <w:r w:rsidR="00080C73" w:rsidRPr="00BC4E44">
        <w:rPr>
          <w:rFonts w:ascii="Times New Roman" w:hAnsi="Times New Roman" w:cs="Times New Roman"/>
          <w:color w:val="000000" w:themeColor="text1"/>
        </w:rPr>
        <w:t xml:space="preserve">sua </w:t>
      </w:r>
      <w:r w:rsidR="00CF7115" w:rsidRPr="00BC4E44">
        <w:rPr>
          <w:rFonts w:ascii="Times New Roman" w:hAnsi="Times New Roman" w:cs="Times New Roman"/>
          <w:color w:val="000000" w:themeColor="text1"/>
        </w:rPr>
        <w:t>palavra</w:t>
      </w:r>
      <w:r w:rsidR="00080C73" w:rsidRPr="00BC4E44">
        <w:rPr>
          <w:rFonts w:ascii="Times New Roman" w:hAnsi="Times New Roman" w:cs="Times New Roman"/>
          <w:color w:val="000000" w:themeColor="text1"/>
        </w:rPr>
        <w:t xml:space="preserve"> ou, até mesmo, justificar a conduta do agressor.</w:t>
      </w:r>
      <w:r w:rsidR="00344842" w:rsidRPr="00BC4E44">
        <w:rPr>
          <w:rFonts w:ascii="Times New Roman" w:hAnsi="Times New Roman" w:cs="Times New Roman"/>
          <w:color w:val="000000" w:themeColor="text1"/>
        </w:rPr>
        <w:t xml:space="preserve"> </w:t>
      </w:r>
    </w:p>
    <w:p w14:paraId="71967CD6" w14:textId="77777777" w:rsidR="006C0934" w:rsidRPr="00BC4E44" w:rsidRDefault="006C0934" w:rsidP="00E35F4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70BE731" w14:textId="78AACE3E" w:rsidR="006C0934" w:rsidRPr="00BC4E44" w:rsidRDefault="006C0934" w:rsidP="00E35F40">
      <w:pPr>
        <w:pStyle w:val="PargrafodaLista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C4E44">
        <w:rPr>
          <w:rFonts w:ascii="Times New Roman" w:hAnsi="Times New Roman" w:cs="Times New Roman"/>
          <w:b/>
          <w:bCs/>
          <w:color w:val="000000" w:themeColor="text1"/>
        </w:rPr>
        <w:t xml:space="preserve">Contexto fático </w:t>
      </w:r>
      <w:r w:rsidR="000B5155" w:rsidRPr="00BC4E44">
        <w:rPr>
          <w:rFonts w:ascii="Times New Roman" w:hAnsi="Times New Roman" w:cs="Times New Roman"/>
          <w:b/>
          <w:bCs/>
          <w:color w:val="000000" w:themeColor="text1"/>
        </w:rPr>
        <w:t>que originou a</w:t>
      </w:r>
      <w:r w:rsidRPr="00BC4E44">
        <w:rPr>
          <w:rFonts w:ascii="Times New Roman" w:hAnsi="Times New Roman" w:cs="Times New Roman"/>
          <w:b/>
          <w:bCs/>
          <w:color w:val="000000" w:themeColor="text1"/>
        </w:rPr>
        <w:t xml:space="preserve"> Resolução</w:t>
      </w:r>
    </w:p>
    <w:p w14:paraId="05C44A4E" w14:textId="11842318" w:rsidR="006C0934" w:rsidRPr="00BC4E44" w:rsidRDefault="006C0934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>Segundo informações disponibilizadas pelo CNJ</w:t>
      </w:r>
      <w:r w:rsidRPr="00BC4E44">
        <w:rPr>
          <w:rStyle w:val="Refdenotaderodap"/>
          <w:rFonts w:ascii="Times New Roman" w:hAnsi="Times New Roman" w:cs="Times New Roman"/>
          <w:color w:val="000000" w:themeColor="text1"/>
        </w:rPr>
        <w:footnoteReference w:id="5"/>
      </w:r>
      <w:r w:rsidRPr="00BC4E44">
        <w:rPr>
          <w:rFonts w:ascii="Times New Roman" w:hAnsi="Times New Roman" w:cs="Times New Roman"/>
          <w:color w:val="000000" w:themeColor="text1"/>
        </w:rPr>
        <w:t xml:space="preserve">, a medida decorre do Pedido de Providência </w:t>
      </w:r>
      <w:r w:rsidR="004A2CBF" w:rsidRPr="00BC4E44">
        <w:rPr>
          <w:rFonts w:ascii="Times New Roman" w:hAnsi="Times New Roman" w:cs="Times New Roman"/>
          <w:color w:val="000000" w:themeColor="text1"/>
        </w:rPr>
        <w:t>nº</w:t>
      </w:r>
      <w:r w:rsidR="001E14CC">
        <w:rPr>
          <w:rFonts w:ascii="Times New Roman" w:hAnsi="Times New Roman" w:cs="Times New Roman"/>
          <w:color w:val="000000" w:themeColor="text1"/>
        </w:rPr>
        <w:t>.</w:t>
      </w:r>
      <w:r w:rsidR="004A2CBF" w:rsidRPr="00BC4E44">
        <w:rPr>
          <w:rFonts w:ascii="Times New Roman" w:hAnsi="Times New Roman" w:cs="Times New Roman"/>
          <w:color w:val="000000" w:themeColor="text1"/>
        </w:rPr>
        <w:t xml:space="preserve"> </w:t>
      </w:r>
      <w:r w:rsidRPr="00BC4E44">
        <w:rPr>
          <w:rFonts w:ascii="Times New Roman" w:hAnsi="Times New Roman" w:cs="Times New Roman"/>
          <w:color w:val="000000" w:themeColor="text1"/>
        </w:rPr>
        <w:t>0002075-02.2024.2.00.0000, apresentado por uma servidora pública, que requereu proteção semelhante à prevista no artigo 400-A do Código de Processo Penal (CPP), no âmbito de processos administrativos disciplinares, especialmente em casos envolvendo assédio sexual, crimes contra a dignidade sexual e violência de gênero.</w:t>
      </w:r>
      <w:r w:rsidRPr="00BC4E44">
        <w:rPr>
          <w:rStyle w:val="Refdenotaderodap"/>
          <w:rFonts w:ascii="Times New Roman" w:hAnsi="Times New Roman" w:cs="Times New Roman"/>
          <w:color w:val="000000" w:themeColor="text1"/>
        </w:rPr>
        <w:footnoteReference w:id="6"/>
      </w:r>
    </w:p>
    <w:p w14:paraId="56ED588B" w14:textId="735E7936" w:rsidR="0057440C" w:rsidRPr="00BC4E44" w:rsidRDefault="00B954AF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40A753A9">
        <w:rPr>
          <w:rFonts w:ascii="Times New Roman" w:hAnsi="Times New Roman" w:cs="Times New Roman"/>
          <w:color w:val="000000" w:themeColor="text1"/>
        </w:rPr>
        <w:lastRenderedPageBreak/>
        <w:t>Justificou-se a</w:t>
      </w:r>
      <w:r w:rsidR="0057440C" w:rsidRPr="40A753A9">
        <w:rPr>
          <w:rFonts w:ascii="Times New Roman" w:hAnsi="Times New Roman" w:cs="Times New Roman"/>
          <w:color w:val="000000" w:themeColor="text1"/>
        </w:rPr>
        <w:t xml:space="preserve"> insuficiência da aplicação meramente subsidiária do artigo 400-A do CPP a partir do caso concreto, em que a requerente, analista judiciária, teria passado por processo administrativo no qual fora admitido depoimento de determinada pessoa sobre supostas confissões privadas realizadas muitos anos antes do fato em apuração. </w:t>
      </w:r>
      <w:r w:rsidR="00D67CCD" w:rsidRPr="40A753A9">
        <w:rPr>
          <w:rFonts w:ascii="Times New Roman" w:hAnsi="Times New Roman" w:cs="Times New Roman"/>
          <w:color w:val="000000" w:themeColor="text1"/>
        </w:rPr>
        <w:t>A</w:t>
      </w:r>
      <w:r w:rsidR="0057440C" w:rsidRPr="40A753A9">
        <w:rPr>
          <w:rFonts w:ascii="Times New Roman" w:hAnsi="Times New Roman" w:cs="Times New Roman"/>
          <w:color w:val="000000" w:themeColor="text1"/>
        </w:rPr>
        <w:t>lém de estranho ao núcleo fático d</w:t>
      </w:r>
      <w:r w:rsidR="6CC14E77" w:rsidRPr="40A753A9">
        <w:rPr>
          <w:rFonts w:ascii="Times New Roman" w:hAnsi="Times New Roman" w:cs="Times New Roman"/>
          <w:color w:val="000000" w:themeColor="text1"/>
        </w:rPr>
        <w:t>o procedimento investigativo</w:t>
      </w:r>
      <w:r w:rsidR="0057440C" w:rsidRPr="40A753A9">
        <w:rPr>
          <w:rFonts w:ascii="Times New Roman" w:hAnsi="Times New Roman" w:cs="Times New Roman"/>
          <w:color w:val="000000" w:themeColor="text1"/>
        </w:rPr>
        <w:t xml:space="preserve">, </w:t>
      </w:r>
      <w:r w:rsidR="00D67CCD" w:rsidRPr="40A753A9">
        <w:rPr>
          <w:rFonts w:ascii="Times New Roman" w:hAnsi="Times New Roman" w:cs="Times New Roman"/>
          <w:color w:val="000000" w:themeColor="text1"/>
        </w:rPr>
        <w:t xml:space="preserve">referido depoimento </w:t>
      </w:r>
      <w:r w:rsidR="0057440C" w:rsidRPr="40A753A9">
        <w:rPr>
          <w:rFonts w:ascii="Times New Roman" w:hAnsi="Times New Roman" w:cs="Times New Roman"/>
          <w:color w:val="000000" w:themeColor="text1"/>
        </w:rPr>
        <w:t xml:space="preserve">acabou por produzir um ambiente de revitimização. A vítima foi colocada sob julgamento moral, como se sua conduta anterior pudesse justificar, explicar ou diminuir a gravidade do assédio sexual relatado. </w:t>
      </w:r>
      <w:r w:rsidR="00A77662" w:rsidRPr="40A753A9">
        <w:rPr>
          <w:rFonts w:ascii="Times New Roman" w:hAnsi="Times New Roman" w:cs="Times New Roman"/>
          <w:color w:val="000000" w:themeColor="text1"/>
        </w:rPr>
        <w:t>Assim, houve uma</w:t>
      </w:r>
      <w:r w:rsidR="0057440C" w:rsidRPr="40A753A9">
        <w:rPr>
          <w:rFonts w:ascii="Times New Roman" w:hAnsi="Times New Roman" w:cs="Times New Roman"/>
          <w:color w:val="000000" w:themeColor="text1"/>
        </w:rPr>
        <w:t xml:space="preserve"> reprodução de estereótipos de gênero, com insinuações de que </w:t>
      </w:r>
      <w:r w:rsidR="00A77662" w:rsidRPr="40A753A9">
        <w:rPr>
          <w:rFonts w:ascii="Times New Roman" w:hAnsi="Times New Roman" w:cs="Times New Roman"/>
          <w:color w:val="000000" w:themeColor="text1"/>
        </w:rPr>
        <w:t>a vítima</w:t>
      </w:r>
      <w:r w:rsidR="0057440C" w:rsidRPr="40A753A9">
        <w:rPr>
          <w:rFonts w:ascii="Times New Roman" w:hAnsi="Times New Roman" w:cs="Times New Roman"/>
          <w:color w:val="000000" w:themeColor="text1"/>
        </w:rPr>
        <w:t xml:space="preserve"> teria provocado a situação ou dado causa ao ocorrido. </w:t>
      </w:r>
    </w:p>
    <w:p w14:paraId="6A6AA7FB" w14:textId="2F1F39B3" w:rsidR="0057440C" w:rsidRPr="00BC4E44" w:rsidRDefault="0057440C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 xml:space="preserve">Durante a 5ª Sessão Ordinária de 2026, ocasião em que o CNJ decidiu pela necessidade de elaboração da Resolução em </w:t>
      </w:r>
      <w:r w:rsidR="00A664F5" w:rsidRPr="00BC4E44">
        <w:rPr>
          <w:rFonts w:ascii="Times New Roman" w:hAnsi="Times New Roman" w:cs="Times New Roman"/>
          <w:color w:val="000000" w:themeColor="text1"/>
        </w:rPr>
        <w:t>questão</w:t>
      </w:r>
      <w:r w:rsidRPr="00BC4E44">
        <w:rPr>
          <w:rFonts w:ascii="Times New Roman" w:hAnsi="Times New Roman" w:cs="Times New Roman"/>
          <w:color w:val="000000" w:themeColor="text1"/>
        </w:rPr>
        <w:t>, o Conselheiro Relator considerou que, do ponto de vista técnico, muito embora a lei permita a incidência do artigo 400-A do CPP, o reforço normativo explícito se faz importante em razão do caráter pedagógico que uma norma pode exercer no combate à violência institucional contra mulheres vítimas de infrações sexuais.</w:t>
      </w:r>
      <w:r w:rsidRPr="00BC4E44">
        <w:rPr>
          <w:rStyle w:val="Refdenotaderodap"/>
          <w:rFonts w:ascii="Times New Roman" w:hAnsi="Times New Roman" w:cs="Times New Roman"/>
          <w:color w:val="000000" w:themeColor="text1"/>
        </w:rPr>
        <w:footnoteReference w:id="7"/>
      </w:r>
      <w:r w:rsidRPr="00BC4E44">
        <w:rPr>
          <w:rFonts w:ascii="Times New Roman" w:hAnsi="Times New Roman" w:cs="Times New Roman"/>
          <w:color w:val="000000" w:themeColor="text1"/>
        </w:rPr>
        <w:t xml:space="preserve"> Na ocasião, também foram feitas considerações a respeito da sensibilidade da matéria diante da dificuldade probatória em casos dessa natureza e da tendência de deslocamento do foco do fato investigado à conduta da vítima.</w:t>
      </w:r>
      <w:r w:rsidRPr="00BC4E44">
        <w:rPr>
          <w:rStyle w:val="Refdenotaderodap"/>
          <w:rFonts w:ascii="Times New Roman" w:hAnsi="Times New Roman" w:cs="Times New Roman"/>
          <w:color w:val="000000" w:themeColor="text1"/>
        </w:rPr>
        <w:footnoteReference w:id="8"/>
      </w:r>
      <w:r w:rsidRPr="00BC4E44">
        <w:rPr>
          <w:rFonts w:ascii="Times New Roman" w:hAnsi="Times New Roman" w:cs="Times New Roman"/>
          <w:color w:val="000000" w:themeColor="text1"/>
        </w:rPr>
        <w:t xml:space="preserve"> </w:t>
      </w:r>
    </w:p>
    <w:p w14:paraId="18BB4012" w14:textId="6779D0FB" w:rsidR="0057440C" w:rsidRPr="00BC4E44" w:rsidRDefault="0057440C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40A753A9">
        <w:rPr>
          <w:rFonts w:ascii="Times New Roman" w:hAnsi="Times New Roman" w:cs="Times New Roman"/>
          <w:color w:val="000000" w:themeColor="text1"/>
        </w:rPr>
        <w:t>Em matéria sancionadora, a ausência de regra expressa abre espaço para distorções instrutórias</w:t>
      </w:r>
      <w:r w:rsidR="004044D7" w:rsidRPr="40A753A9">
        <w:rPr>
          <w:rFonts w:ascii="Times New Roman" w:hAnsi="Times New Roman" w:cs="Times New Roman"/>
          <w:color w:val="000000" w:themeColor="text1"/>
        </w:rPr>
        <w:t xml:space="preserve"> que</w:t>
      </w:r>
      <w:r w:rsidRPr="40A753A9">
        <w:rPr>
          <w:rFonts w:ascii="Times New Roman" w:hAnsi="Times New Roman" w:cs="Times New Roman"/>
          <w:color w:val="000000" w:themeColor="text1"/>
        </w:rPr>
        <w:t xml:space="preserve"> podem produzir danos graves, seja à</w:t>
      </w:r>
      <w:r w:rsidR="00C8127B" w:rsidRPr="40A753A9">
        <w:rPr>
          <w:rFonts w:ascii="Times New Roman" w:hAnsi="Times New Roman" w:cs="Times New Roman"/>
          <w:color w:val="000000" w:themeColor="text1"/>
        </w:rPr>
        <w:t>s</w:t>
      </w:r>
      <w:r w:rsidRPr="40A753A9">
        <w:rPr>
          <w:rFonts w:ascii="Times New Roman" w:hAnsi="Times New Roman" w:cs="Times New Roman"/>
          <w:color w:val="000000" w:themeColor="text1"/>
        </w:rPr>
        <w:t xml:space="preserve"> </w:t>
      </w:r>
      <w:r w:rsidR="004044D7" w:rsidRPr="40A753A9">
        <w:rPr>
          <w:rFonts w:ascii="Times New Roman" w:hAnsi="Times New Roman" w:cs="Times New Roman"/>
          <w:color w:val="000000" w:themeColor="text1"/>
        </w:rPr>
        <w:t>própria</w:t>
      </w:r>
      <w:r w:rsidR="00C8127B" w:rsidRPr="40A753A9">
        <w:rPr>
          <w:rFonts w:ascii="Times New Roman" w:hAnsi="Times New Roman" w:cs="Times New Roman"/>
          <w:color w:val="000000" w:themeColor="text1"/>
        </w:rPr>
        <w:t>s</w:t>
      </w:r>
      <w:r w:rsidR="004044D7" w:rsidRPr="40A753A9">
        <w:rPr>
          <w:rFonts w:ascii="Times New Roman" w:hAnsi="Times New Roman" w:cs="Times New Roman"/>
          <w:color w:val="000000" w:themeColor="text1"/>
        </w:rPr>
        <w:t xml:space="preserve"> </w:t>
      </w:r>
      <w:r w:rsidRPr="40A753A9">
        <w:rPr>
          <w:rFonts w:ascii="Times New Roman" w:hAnsi="Times New Roman" w:cs="Times New Roman"/>
          <w:color w:val="000000" w:themeColor="text1"/>
        </w:rPr>
        <w:t>vítima</w:t>
      </w:r>
      <w:r w:rsidR="00C8127B" w:rsidRPr="40A753A9">
        <w:rPr>
          <w:rFonts w:ascii="Times New Roman" w:hAnsi="Times New Roman" w:cs="Times New Roman"/>
          <w:color w:val="000000" w:themeColor="text1"/>
        </w:rPr>
        <w:t>s</w:t>
      </w:r>
      <w:r w:rsidRPr="40A753A9">
        <w:rPr>
          <w:rFonts w:ascii="Times New Roman" w:hAnsi="Times New Roman" w:cs="Times New Roman"/>
          <w:color w:val="000000" w:themeColor="text1"/>
        </w:rPr>
        <w:t xml:space="preserve">, </w:t>
      </w:r>
      <w:r w:rsidR="29F31ADD" w:rsidRPr="40A753A9">
        <w:rPr>
          <w:rFonts w:ascii="Times New Roman" w:hAnsi="Times New Roman" w:cs="Times New Roman"/>
          <w:color w:val="000000" w:themeColor="text1"/>
        </w:rPr>
        <w:t>seja à</w:t>
      </w:r>
      <w:r w:rsidR="004044D7" w:rsidRPr="40A753A9">
        <w:rPr>
          <w:rFonts w:ascii="Times New Roman" w:hAnsi="Times New Roman" w:cs="Times New Roman"/>
          <w:color w:val="000000" w:themeColor="text1"/>
        </w:rPr>
        <w:t xml:space="preserve"> c</w:t>
      </w:r>
      <w:r w:rsidRPr="40A753A9">
        <w:rPr>
          <w:rFonts w:ascii="Times New Roman" w:hAnsi="Times New Roman" w:cs="Times New Roman"/>
          <w:color w:val="000000" w:themeColor="text1"/>
        </w:rPr>
        <w:t xml:space="preserve">onfiança de outras mulheres </w:t>
      </w:r>
      <w:r w:rsidR="004044D7" w:rsidRPr="40A753A9">
        <w:rPr>
          <w:rFonts w:ascii="Times New Roman" w:hAnsi="Times New Roman" w:cs="Times New Roman"/>
          <w:color w:val="000000" w:themeColor="text1"/>
        </w:rPr>
        <w:t>para</w:t>
      </w:r>
      <w:r w:rsidRPr="40A753A9">
        <w:rPr>
          <w:rFonts w:ascii="Times New Roman" w:hAnsi="Times New Roman" w:cs="Times New Roman"/>
          <w:color w:val="000000" w:themeColor="text1"/>
        </w:rPr>
        <w:t xml:space="preserve"> levar situações semelhantes ao conhecimento das instituições competentes.</w:t>
      </w:r>
    </w:p>
    <w:p w14:paraId="3FCB6A71" w14:textId="77777777" w:rsidR="0031791C" w:rsidRPr="00BC4E44" w:rsidRDefault="0031791C" w:rsidP="00E35F4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D835765" w14:textId="4686FEAD" w:rsidR="0031791C" w:rsidRPr="00BC4E44" w:rsidRDefault="0031791C" w:rsidP="00E35F40">
      <w:pPr>
        <w:pStyle w:val="PargrafodaLista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C4E44">
        <w:rPr>
          <w:rFonts w:ascii="Times New Roman" w:hAnsi="Times New Roman" w:cs="Times New Roman"/>
          <w:b/>
          <w:bCs/>
          <w:color w:val="000000" w:themeColor="text1"/>
        </w:rPr>
        <w:t>Finalidade protetiva e vedação à revitimização</w:t>
      </w:r>
    </w:p>
    <w:p w14:paraId="193319B4" w14:textId="52883ECF" w:rsidR="004044D7" w:rsidRPr="00BC4E44" w:rsidRDefault="009011A7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>Expressamente, a</w:t>
      </w:r>
      <w:r w:rsidR="001C05BE" w:rsidRPr="00BC4E44">
        <w:rPr>
          <w:rFonts w:ascii="Times New Roman" w:hAnsi="Times New Roman" w:cs="Times New Roman"/>
          <w:color w:val="000000" w:themeColor="text1"/>
        </w:rPr>
        <w:t xml:space="preserve"> norma veda a adoção de condutas que possam implicar </w:t>
      </w:r>
      <w:r w:rsidR="00A3029E" w:rsidRPr="00BC4E44">
        <w:rPr>
          <w:rFonts w:ascii="Times New Roman" w:hAnsi="Times New Roman" w:cs="Times New Roman"/>
          <w:color w:val="000000" w:themeColor="text1"/>
        </w:rPr>
        <w:t>“</w:t>
      </w:r>
      <w:r w:rsidR="001C05BE" w:rsidRPr="00BC4E44">
        <w:rPr>
          <w:rFonts w:ascii="Times New Roman" w:hAnsi="Times New Roman" w:cs="Times New Roman"/>
          <w:color w:val="000000" w:themeColor="text1"/>
        </w:rPr>
        <w:t>revitimização</w:t>
      </w:r>
      <w:r w:rsidR="00A3029E" w:rsidRPr="00BC4E44">
        <w:rPr>
          <w:rFonts w:ascii="Times New Roman" w:hAnsi="Times New Roman" w:cs="Times New Roman"/>
          <w:color w:val="000000" w:themeColor="text1"/>
        </w:rPr>
        <w:t>”</w:t>
      </w:r>
      <w:r w:rsidR="00600561" w:rsidRPr="00BC4E44">
        <w:rPr>
          <w:rFonts w:ascii="Times New Roman" w:hAnsi="Times New Roman" w:cs="Times New Roman"/>
          <w:color w:val="000000" w:themeColor="text1"/>
        </w:rPr>
        <w:t xml:space="preserve">, que, conforme Judith </w:t>
      </w:r>
      <w:r w:rsidR="00CC008B" w:rsidRPr="00BC4E44">
        <w:rPr>
          <w:rFonts w:ascii="Times New Roman" w:hAnsi="Times New Roman" w:cs="Times New Roman"/>
          <w:color w:val="000000" w:themeColor="text1"/>
        </w:rPr>
        <w:t xml:space="preserve">Lewis </w:t>
      </w:r>
      <w:r w:rsidR="00600561" w:rsidRPr="00BC4E44">
        <w:rPr>
          <w:rFonts w:ascii="Times New Roman" w:hAnsi="Times New Roman" w:cs="Times New Roman"/>
          <w:color w:val="000000" w:themeColor="text1"/>
        </w:rPr>
        <w:t>Herman</w:t>
      </w:r>
      <w:r w:rsidR="00600561" w:rsidRPr="00BC4E44">
        <w:rPr>
          <w:rStyle w:val="Refdenotaderodap"/>
          <w:rFonts w:ascii="Times New Roman" w:hAnsi="Times New Roman" w:cs="Times New Roman"/>
          <w:color w:val="000000" w:themeColor="text1"/>
        </w:rPr>
        <w:footnoteReference w:id="9"/>
      </w:r>
      <w:r w:rsidR="00600561" w:rsidRPr="00BC4E44">
        <w:rPr>
          <w:rFonts w:ascii="Times New Roman" w:hAnsi="Times New Roman" w:cs="Times New Roman"/>
          <w:color w:val="000000" w:themeColor="text1"/>
        </w:rPr>
        <w:t xml:space="preserve">, diz respeito à situação em que uma pessoa previamente submetida a um trauma ou a uma experiência lesiva </w:t>
      </w:r>
      <w:r w:rsidR="00AB124B" w:rsidRPr="00BC4E44">
        <w:rPr>
          <w:rFonts w:ascii="Times New Roman" w:hAnsi="Times New Roman" w:cs="Times New Roman"/>
          <w:color w:val="000000" w:themeColor="text1"/>
        </w:rPr>
        <w:t>passa por</w:t>
      </w:r>
      <w:r w:rsidR="00600561" w:rsidRPr="00BC4E44">
        <w:rPr>
          <w:rFonts w:ascii="Times New Roman" w:hAnsi="Times New Roman" w:cs="Times New Roman"/>
          <w:color w:val="000000" w:themeColor="text1"/>
        </w:rPr>
        <w:t xml:space="preserve"> novas situações de vitimização, capazes de reatualizar o sofrimento e os efeitos psíquicos decorrentes do evento traumático originário.</w:t>
      </w:r>
    </w:p>
    <w:p w14:paraId="0EE32871" w14:textId="77777777" w:rsidR="00AB124B" w:rsidRPr="00BC4E44" w:rsidRDefault="00C32337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>P</w:t>
      </w:r>
      <w:r w:rsidR="00FF385C" w:rsidRPr="00BC4E44">
        <w:rPr>
          <w:rFonts w:ascii="Times New Roman" w:hAnsi="Times New Roman" w:cs="Times New Roman"/>
          <w:color w:val="000000" w:themeColor="text1"/>
        </w:rPr>
        <w:t xml:space="preserve">arte-se do pressuposto </w:t>
      </w:r>
      <w:r w:rsidR="0031791C" w:rsidRPr="00BC4E44">
        <w:rPr>
          <w:rFonts w:ascii="Times New Roman" w:hAnsi="Times New Roman" w:cs="Times New Roman"/>
          <w:color w:val="000000" w:themeColor="text1"/>
        </w:rPr>
        <w:t xml:space="preserve">de </w:t>
      </w:r>
      <w:r w:rsidR="00FF385C" w:rsidRPr="00BC4E44">
        <w:rPr>
          <w:rFonts w:ascii="Times New Roman" w:hAnsi="Times New Roman" w:cs="Times New Roman"/>
          <w:color w:val="000000" w:themeColor="text1"/>
        </w:rPr>
        <w:t>que</w:t>
      </w:r>
      <w:r w:rsidRPr="00BC4E44">
        <w:rPr>
          <w:rFonts w:ascii="Times New Roman" w:hAnsi="Times New Roman" w:cs="Times New Roman"/>
          <w:color w:val="000000" w:themeColor="text1"/>
        </w:rPr>
        <w:t xml:space="preserve"> a violência institucional não está restrita às instâncias tradicionalmente relacionadas à persecução criminal ou à prestação jurisdicional, como delegacias, audiências judiciais </w:t>
      </w:r>
      <w:r w:rsidR="00AD2864" w:rsidRPr="00BC4E44">
        <w:rPr>
          <w:rFonts w:ascii="Times New Roman" w:hAnsi="Times New Roman" w:cs="Times New Roman"/>
          <w:color w:val="000000" w:themeColor="text1"/>
        </w:rPr>
        <w:t xml:space="preserve">e atos de instrução processual. </w:t>
      </w:r>
      <w:r w:rsidRPr="00BC4E44">
        <w:rPr>
          <w:rFonts w:ascii="Times New Roman" w:hAnsi="Times New Roman" w:cs="Times New Roman"/>
          <w:color w:val="000000" w:themeColor="text1"/>
        </w:rPr>
        <w:t>Portanto,</w:t>
      </w:r>
      <w:r w:rsidR="00AD2864" w:rsidRPr="00BC4E44">
        <w:rPr>
          <w:rFonts w:ascii="Times New Roman" w:hAnsi="Times New Roman" w:cs="Times New Roman"/>
          <w:color w:val="000000" w:themeColor="text1"/>
        </w:rPr>
        <w:t xml:space="preserve"> o ambiente administrativo-disciplinar </w:t>
      </w:r>
      <w:r w:rsidR="000F6D41" w:rsidRPr="00BC4E44">
        <w:rPr>
          <w:rFonts w:ascii="Times New Roman" w:hAnsi="Times New Roman" w:cs="Times New Roman"/>
          <w:color w:val="000000" w:themeColor="text1"/>
        </w:rPr>
        <w:t xml:space="preserve">é </w:t>
      </w:r>
      <w:r w:rsidR="00CA4C5B" w:rsidRPr="00BC4E44">
        <w:rPr>
          <w:rFonts w:ascii="Times New Roman" w:hAnsi="Times New Roman" w:cs="Times New Roman"/>
          <w:color w:val="000000" w:themeColor="text1"/>
        </w:rPr>
        <w:t>admitido</w:t>
      </w:r>
      <w:r w:rsidR="000F6D41" w:rsidRPr="00BC4E44">
        <w:rPr>
          <w:rFonts w:ascii="Times New Roman" w:hAnsi="Times New Roman" w:cs="Times New Roman"/>
          <w:color w:val="000000" w:themeColor="text1"/>
        </w:rPr>
        <w:t xml:space="preserve"> como um espaç</w:t>
      </w:r>
      <w:r w:rsidR="00F234E6" w:rsidRPr="00BC4E44">
        <w:rPr>
          <w:rFonts w:ascii="Times New Roman" w:hAnsi="Times New Roman" w:cs="Times New Roman"/>
          <w:color w:val="000000" w:themeColor="text1"/>
        </w:rPr>
        <w:t>o em que</w:t>
      </w:r>
      <w:r w:rsidR="0031004C" w:rsidRPr="00BC4E44">
        <w:rPr>
          <w:rFonts w:ascii="Times New Roman" w:hAnsi="Times New Roman" w:cs="Times New Roman"/>
          <w:color w:val="000000" w:themeColor="text1"/>
        </w:rPr>
        <w:t xml:space="preserve"> </w:t>
      </w:r>
      <w:r w:rsidR="00810623" w:rsidRPr="00BC4E44">
        <w:rPr>
          <w:rFonts w:ascii="Times New Roman" w:hAnsi="Times New Roman" w:cs="Times New Roman"/>
          <w:color w:val="000000" w:themeColor="text1"/>
        </w:rPr>
        <w:t>assimetrias de poder</w:t>
      </w:r>
      <w:r w:rsidR="00F234E6" w:rsidRPr="00BC4E44">
        <w:rPr>
          <w:rFonts w:ascii="Times New Roman" w:hAnsi="Times New Roman" w:cs="Times New Roman"/>
          <w:color w:val="000000" w:themeColor="text1"/>
        </w:rPr>
        <w:t xml:space="preserve"> e </w:t>
      </w:r>
      <w:r w:rsidR="00810623" w:rsidRPr="00BC4E44">
        <w:rPr>
          <w:rFonts w:ascii="Times New Roman" w:hAnsi="Times New Roman" w:cs="Times New Roman"/>
          <w:color w:val="000000" w:themeColor="text1"/>
        </w:rPr>
        <w:t>estereótipos</w:t>
      </w:r>
      <w:r w:rsidR="00F234E6" w:rsidRPr="00BC4E44">
        <w:rPr>
          <w:rFonts w:ascii="Times New Roman" w:hAnsi="Times New Roman" w:cs="Times New Roman"/>
          <w:color w:val="000000" w:themeColor="text1"/>
        </w:rPr>
        <w:t xml:space="preserve"> </w:t>
      </w:r>
      <w:r w:rsidR="00DB64BB" w:rsidRPr="00BC4E44">
        <w:rPr>
          <w:rFonts w:ascii="Times New Roman" w:hAnsi="Times New Roman" w:cs="Times New Roman"/>
          <w:color w:val="000000" w:themeColor="text1"/>
        </w:rPr>
        <w:t>podem ser</w:t>
      </w:r>
      <w:r w:rsidR="00F234E6" w:rsidRPr="00BC4E44">
        <w:rPr>
          <w:rFonts w:ascii="Times New Roman" w:hAnsi="Times New Roman" w:cs="Times New Roman"/>
          <w:color w:val="000000" w:themeColor="text1"/>
        </w:rPr>
        <w:t xml:space="preserve"> re</w:t>
      </w:r>
      <w:r w:rsidR="00364309" w:rsidRPr="00BC4E44">
        <w:rPr>
          <w:rFonts w:ascii="Times New Roman" w:hAnsi="Times New Roman" w:cs="Times New Roman"/>
          <w:color w:val="000000" w:themeColor="text1"/>
        </w:rPr>
        <w:t>produzidos</w:t>
      </w:r>
      <w:r w:rsidR="00810623" w:rsidRPr="00BC4E44">
        <w:rPr>
          <w:rFonts w:ascii="Times New Roman" w:hAnsi="Times New Roman" w:cs="Times New Roman"/>
          <w:color w:val="000000" w:themeColor="text1"/>
        </w:rPr>
        <w:t xml:space="preserve">, </w:t>
      </w:r>
      <w:r w:rsidR="00C4731B" w:rsidRPr="00BC4E44">
        <w:rPr>
          <w:rFonts w:ascii="Times New Roman" w:hAnsi="Times New Roman" w:cs="Times New Roman"/>
          <w:color w:val="000000" w:themeColor="text1"/>
        </w:rPr>
        <w:t>sobretudo quando a</w:t>
      </w:r>
      <w:r w:rsidR="00117739" w:rsidRPr="00BC4E44">
        <w:rPr>
          <w:rFonts w:ascii="Times New Roman" w:hAnsi="Times New Roman" w:cs="Times New Roman"/>
          <w:color w:val="000000" w:themeColor="text1"/>
        </w:rPr>
        <w:t>s</w:t>
      </w:r>
      <w:r w:rsidR="00C4731B" w:rsidRPr="00BC4E44">
        <w:rPr>
          <w:rFonts w:ascii="Times New Roman" w:hAnsi="Times New Roman" w:cs="Times New Roman"/>
          <w:color w:val="000000" w:themeColor="text1"/>
        </w:rPr>
        <w:t xml:space="preserve"> vítima</w:t>
      </w:r>
      <w:r w:rsidR="00117739" w:rsidRPr="00BC4E44">
        <w:rPr>
          <w:rFonts w:ascii="Times New Roman" w:hAnsi="Times New Roman" w:cs="Times New Roman"/>
          <w:color w:val="000000" w:themeColor="text1"/>
        </w:rPr>
        <w:t>s</w:t>
      </w:r>
      <w:r w:rsidR="00C4731B" w:rsidRPr="00BC4E44">
        <w:rPr>
          <w:rFonts w:ascii="Times New Roman" w:hAnsi="Times New Roman" w:cs="Times New Roman"/>
          <w:color w:val="000000" w:themeColor="text1"/>
        </w:rPr>
        <w:t xml:space="preserve"> ou testemunha</w:t>
      </w:r>
      <w:r w:rsidR="00117739" w:rsidRPr="00BC4E44">
        <w:rPr>
          <w:rFonts w:ascii="Times New Roman" w:hAnsi="Times New Roman" w:cs="Times New Roman"/>
          <w:color w:val="000000" w:themeColor="text1"/>
        </w:rPr>
        <w:t>s</w:t>
      </w:r>
      <w:r w:rsidR="00C4731B" w:rsidRPr="00BC4E44">
        <w:rPr>
          <w:rFonts w:ascii="Times New Roman" w:hAnsi="Times New Roman" w:cs="Times New Roman"/>
          <w:color w:val="000000" w:themeColor="text1"/>
        </w:rPr>
        <w:t xml:space="preserve"> se encontra</w:t>
      </w:r>
      <w:r w:rsidR="00117739" w:rsidRPr="00BC4E44">
        <w:rPr>
          <w:rFonts w:ascii="Times New Roman" w:hAnsi="Times New Roman" w:cs="Times New Roman"/>
          <w:color w:val="000000" w:themeColor="text1"/>
        </w:rPr>
        <w:t>m</w:t>
      </w:r>
      <w:r w:rsidR="00C4731B" w:rsidRPr="00BC4E44">
        <w:rPr>
          <w:rFonts w:ascii="Times New Roman" w:hAnsi="Times New Roman" w:cs="Times New Roman"/>
          <w:color w:val="000000" w:themeColor="text1"/>
        </w:rPr>
        <w:t xml:space="preserve"> diante de estruturas marcadas por hierarquia funcional e autoridade simbólica. </w:t>
      </w:r>
    </w:p>
    <w:p w14:paraId="54622FF7" w14:textId="55D6F4EA" w:rsidR="007F3EAD" w:rsidRPr="00BC4E44" w:rsidRDefault="007F3EAD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>A esse respeito, é</w:t>
      </w:r>
      <w:r w:rsidR="00131E88" w:rsidRPr="00BC4E44">
        <w:rPr>
          <w:rFonts w:ascii="Times New Roman" w:hAnsi="Times New Roman" w:cs="Times New Roman"/>
          <w:color w:val="000000" w:themeColor="text1"/>
        </w:rPr>
        <w:t xml:space="preserve"> de se considerar que, muitas vezes,</w:t>
      </w:r>
      <w:r w:rsidR="009D31DF" w:rsidRPr="00BC4E44">
        <w:rPr>
          <w:rFonts w:ascii="Times New Roman" w:hAnsi="Times New Roman" w:cs="Times New Roman"/>
          <w:color w:val="000000" w:themeColor="text1"/>
        </w:rPr>
        <w:t xml:space="preserve"> a busca por justiça ou reparação pode </w:t>
      </w:r>
      <w:r w:rsidR="00131E88" w:rsidRPr="00BC4E44">
        <w:rPr>
          <w:rFonts w:ascii="Times New Roman" w:hAnsi="Times New Roman" w:cs="Times New Roman"/>
          <w:color w:val="000000" w:themeColor="text1"/>
        </w:rPr>
        <w:t xml:space="preserve">ocasionar novo trauma, especialmente porque o sistema </w:t>
      </w:r>
      <w:r w:rsidR="00D32DE0" w:rsidRPr="00BC4E44">
        <w:rPr>
          <w:rFonts w:ascii="Times New Roman" w:hAnsi="Times New Roman" w:cs="Times New Roman"/>
          <w:color w:val="000000" w:themeColor="text1"/>
        </w:rPr>
        <w:t>jurídico (e institucional) tende a se revelar um ambiente hostil às vítimas de infrações contra a dignidade sexual ou violência contra a mulher. Em parte, essa hostilidade decorre da lógica inerente ao processo, estruturado como um espaço de confronto, no qual estratégias argumentativas agressivas e investidas psicológicas assumem o lugar da violência física direta.</w:t>
      </w:r>
      <w:r w:rsidRPr="00BC4E44">
        <w:rPr>
          <w:rFonts w:ascii="Times New Roman" w:hAnsi="Times New Roman" w:cs="Times New Roman"/>
          <w:color w:val="000000" w:themeColor="text1"/>
        </w:rPr>
        <w:t xml:space="preserve"> </w:t>
      </w:r>
      <w:r w:rsidR="00AB124B" w:rsidRPr="00BC4E44">
        <w:rPr>
          <w:rFonts w:ascii="Times New Roman" w:hAnsi="Times New Roman" w:cs="Times New Roman"/>
          <w:color w:val="000000" w:themeColor="text1"/>
        </w:rPr>
        <w:t>Nesse contexto, muitas mulheres não se encontram preparadas para esse tipo de embate. Mesmo aquelas que dispõem de melhores condições para enfrentá-lo podem permanecer em posição de desvantagem, em razão de vieses sistemáticos e de formas institucionais de discriminação.</w:t>
      </w:r>
      <w:r w:rsidRPr="00BC4E44">
        <w:rPr>
          <w:rStyle w:val="Refdenotaderodap"/>
          <w:rFonts w:ascii="Times New Roman" w:hAnsi="Times New Roman" w:cs="Times New Roman"/>
          <w:color w:val="000000" w:themeColor="text1"/>
        </w:rPr>
        <w:footnoteReference w:id="10"/>
      </w:r>
    </w:p>
    <w:p w14:paraId="2047F65C" w14:textId="1ECFD74A" w:rsidR="00AB124B" w:rsidRPr="00BC4E44" w:rsidRDefault="007F3EAD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>Historicamente, o</w:t>
      </w:r>
      <w:r w:rsidR="00AB124B" w:rsidRPr="00BC4E44">
        <w:rPr>
          <w:rFonts w:ascii="Times New Roman" w:hAnsi="Times New Roman" w:cs="Times New Roman"/>
          <w:color w:val="000000" w:themeColor="text1"/>
        </w:rPr>
        <w:t xml:space="preserve"> sistema jurídico foi concebido para resguardar os indivíduos</w:t>
      </w:r>
      <w:r w:rsidRPr="00BC4E44">
        <w:rPr>
          <w:rFonts w:ascii="Times New Roman" w:hAnsi="Times New Roman" w:cs="Times New Roman"/>
          <w:color w:val="000000" w:themeColor="text1"/>
        </w:rPr>
        <w:t xml:space="preserve">, </w:t>
      </w:r>
      <w:r w:rsidR="00AB124B" w:rsidRPr="00BC4E44">
        <w:rPr>
          <w:rFonts w:ascii="Times New Roman" w:hAnsi="Times New Roman" w:cs="Times New Roman"/>
          <w:color w:val="000000" w:themeColor="text1"/>
        </w:rPr>
        <w:t>especialmente os homens</w:t>
      </w:r>
      <w:r w:rsidRPr="00BC4E44">
        <w:rPr>
          <w:rFonts w:ascii="Times New Roman" w:hAnsi="Times New Roman" w:cs="Times New Roman"/>
          <w:color w:val="000000" w:themeColor="text1"/>
        </w:rPr>
        <w:t xml:space="preserve">, </w:t>
      </w:r>
      <w:r w:rsidR="00AB124B" w:rsidRPr="00BC4E44">
        <w:rPr>
          <w:rFonts w:ascii="Times New Roman" w:hAnsi="Times New Roman" w:cs="Times New Roman"/>
          <w:color w:val="000000" w:themeColor="text1"/>
        </w:rPr>
        <w:t xml:space="preserve">contra o poder do Estado, mas não necessariamente para proteger mulheres e crianças contra relações privadas de dominação e violência. </w:t>
      </w:r>
      <w:r w:rsidR="00A3029E" w:rsidRPr="00BC4E44">
        <w:rPr>
          <w:rFonts w:ascii="Times New Roman" w:hAnsi="Times New Roman" w:cs="Times New Roman"/>
          <w:color w:val="000000" w:themeColor="text1"/>
        </w:rPr>
        <w:t>Sob essa</w:t>
      </w:r>
      <w:r w:rsidR="00AB124B" w:rsidRPr="00BC4E44">
        <w:rPr>
          <w:rFonts w:ascii="Times New Roman" w:hAnsi="Times New Roman" w:cs="Times New Roman"/>
          <w:color w:val="000000" w:themeColor="text1"/>
        </w:rPr>
        <w:t xml:space="preserve"> perspectiva, poucos ambientes seriam tão aptos a desencadear sintomas intrusivos de estresse pós-traumático quanto uma sala de audiência.</w:t>
      </w:r>
      <w:r w:rsidRPr="00BC4E44">
        <w:rPr>
          <w:rFonts w:ascii="Times New Roman" w:hAnsi="Times New Roman" w:cs="Times New Roman"/>
          <w:color w:val="000000" w:themeColor="text1"/>
        </w:rPr>
        <w:t xml:space="preserve"> </w:t>
      </w:r>
      <w:r w:rsidR="00AB124B" w:rsidRPr="00BC4E44">
        <w:rPr>
          <w:rFonts w:ascii="Times New Roman" w:hAnsi="Times New Roman" w:cs="Times New Roman"/>
          <w:color w:val="000000" w:themeColor="text1"/>
        </w:rPr>
        <w:t>Não por acaso, mulheres que recorreram ao sistema de justiça</w:t>
      </w:r>
      <w:r w:rsidRPr="00BC4E44">
        <w:rPr>
          <w:rFonts w:ascii="Times New Roman" w:hAnsi="Times New Roman" w:cs="Times New Roman"/>
          <w:color w:val="000000" w:themeColor="text1"/>
        </w:rPr>
        <w:t>,</w:t>
      </w:r>
      <w:r w:rsidR="00AB124B" w:rsidRPr="00BC4E44">
        <w:rPr>
          <w:rFonts w:ascii="Times New Roman" w:hAnsi="Times New Roman" w:cs="Times New Roman"/>
          <w:color w:val="000000" w:themeColor="text1"/>
        </w:rPr>
        <w:t xml:space="preserve"> frequentemente</w:t>
      </w:r>
      <w:r w:rsidRPr="00BC4E44">
        <w:rPr>
          <w:rFonts w:ascii="Times New Roman" w:hAnsi="Times New Roman" w:cs="Times New Roman"/>
          <w:color w:val="000000" w:themeColor="text1"/>
        </w:rPr>
        <w:t>,</w:t>
      </w:r>
      <w:r w:rsidR="00AB124B" w:rsidRPr="00BC4E44">
        <w:rPr>
          <w:rFonts w:ascii="Times New Roman" w:hAnsi="Times New Roman" w:cs="Times New Roman"/>
          <w:color w:val="000000" w:themeColor="text1"/>
        </w:rPr>
        <w:t xml:space="preserve"> descrevem essa experiência como uma segunda violência, comparando-a à vivência de uma nova violação.</w:t>
      </w:r>
      <w:r w:rsidRPr="00BC4E44">
        <w:rPr>
          <w:rStyle w:val="Refdenotaderodap"/>
          <w:rFonts w:ascii="Times New Roman" w:hAnsi="Times New Roman" w:cs="Times New Roman"/>
          <w:color w:val="000000" w:themeColor="text1"/>
        </w:rPr>
        <w:footnoteReference w:id="11"/>
      </w:r>
    </w:p>
    <w:p w14:paraId="4551C239" w14:textId="49C4AE0B" w:rsidR="00A80949" w:rsidRPr="00BC4E44" w:rsidRDefault="00A80949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>A finalidade protetiva da Resolução CNJ nº</w:t>
      </w:r>
      <w:r w:rsidR="005C47D0">
        <w:rPr>
          <w:rFonts w:ascii="Times New Roman" w:hAnsi="Times New Roman" w:cs="Times New Roman"/>
          <w:color w:val="000000" w:themeColor="text1"/>
        </w:rPr>
        <w:t>.</w:t>
      </w:r>
      <w:r w:rsidRPr="00BC4E44">
        <w:rPr>
          <w:rFonts w:ascii="Times New Roman" w:hAnsi="Times New Roman" w:cs="Times New Roman"/>
          <w:color w:val="000000" w:themeColor="text1"/>
        </w:rPr>
        <w:t xml:space="preserve"> 680/2026 consiste em impedir que o procedimento administrativo disciplinar, destinado à apuração de uma infração dessa natureza, converta-se em espaço de reprodução da violência originalmente denunciada. Ao vedar condutas que exponham indevidamente a vida privada, a sexualidade, as escolhas afetivas ou o modo de vida de vítimas e testemunhas, a norma desloca o foco da instrução para aquilo que efetivamente importa: os fatos objeto de apuração e a responsabilidade funcional eventualmente deles decorrente.</w:t>
      </w:r>
    </w:p>
    <w:p w14:paraId="4F187671" w14:textId="77777777" w:rsidR="00810027" w:rsidRPr="00BC4E44" w:rsidRDefault="00810027" w:rsidP="00E35F40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7687AD81" w14:textId="310D753B" w:rsidR="004D06FA" w:rsidRPr="00BC4E44" w:rsidRDefault="004D06FA" w:rsidP="00E35F40">
      <w:pPr>
        <w:pStyle w:val="PargrafodaLista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C4E44">
        <w:rPr>
          <w:rFonts w:ascii="Times New Roman" w:hAnsi="Times New Roman" w:cs="Times New Roman"/>
          <w:b/>
          <w:bCs/>
          <w:color w:val="000000" w:themeColor="text1"/>
        </w:rPr>
        <w:t>Fundamento constitucional e competência do CNJ</w:t>
      </w:r>
    </w:p>
    <w:p w14:paraId="0A93218F" w14:textId="70D66ED8" w:rsidR="00810027" w:rsidRPr="00BC4E44" w:rsidRDefault="003B7ABE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>Embora tenha natureza administrativa, o</w:t>
      </w:r>
      <w:r w:rsidR="00810027" w:rsidRPr="00BC4E44">
        <w:rPr>
          <w:rFonts w:ascii="Times New Roman" w:hAnsi="Times New Roman" w:cs="Times New Roman"/>
          <w:color w:val="000000" w:themeColor="text1"/>
        </w:rPr>
        <w:t xml:space="preserve"> direito administrativo sancionador</w:t>
      </w:r>
      <w:r w:rsidRPr="00BC4E44">
        <w:rPr>
          <w:rFonts w:ascii="Times New Roman" w:hAnsi="Times New Roman" w:cs="Times New Roman"/>
          <w:color w:val="000000" w:themeColor="text1"/>
        </w:rPr>
        <w:t xml:space="preserve"> se </w:t>
      </w:r>
      <w:r w:rsidR="00810027" w:rsidRPr="00BC4E44">
        <w:rPr>
          <w:rFonts w:ascii="Times New Roman" w:hAnsi="Times New Roman" w:cs="Times New Roman"/>
          <w:color w:val="000000" w:themeColor="text1"/>
        </w:rPr>
        <w:t xml:space="preserve">aproxima do direito processual penal em diversos </w:t>
      </w:r>
      <w:r w:rsidR="00083638" w:rsidRPr="00BC4E44">
        <w:rPr>
          <w:rFonts w:ascii="Times New Roman" w:hAnsi="Times New Roman" w:cs="Times New Roman"/>
          <w:color w:val="000000" w:themeColor="text1"/>
        </w:rPr>
        <w:t>aspectos</w:t>
      </w:r>
      <w:r w:rsidR="00810027" w:rsidRPr="00BC4E44">
        <w:rPr>
          <w:rFonts w:ascii="Times New Roman" w:hAnsi="Times New Roman" w:cs="Times New Roman"/>
          <w:color w:val="000000" w:themeColor="text1"/>
        </w:rPr>
        <w:t>, justamente porque também envolve o Estado apurando fatos e aplicando sanções. Por isso, é fundamental que a proteção conferida às vítimas no processo penal também seja observada, com as adaptações necessárias, nos processos administrativos disciplinares.</w:t>
      </w:r>
    </w:p>
    <w:p w14:paraId="35EC4F6A" w14:textId="1B27254F" w:rsidR="0006426F" w:rsidRPr="00BC4E44" w:rsidRDefault="005F1867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>O teor da norma em questão r</w:t>
      </w:r>
      <w:r w:rsidR="001C7CB5" w:rsidRPr="00BC4E44">
        <w:rPr>
          <w:rFonts w:ascii="Times New Roman" w:hAnsi="Times New Roman" w:cs="Times New Roman"/>
          <w:color w:val="000000" w:themeColor="text1"/>
        </w:rPr>
        <w:t>efor</w:t>
      </w:r>
      <w:r w:rsidR="00B9493A" w:rsidRPr="00BC4E44">
        <w:rPr>
          <w:rFonts w:ascii="Times New Roman" w:hAnsi="Times New Roman" w:cs="Times New Roman"/>
          <w:color w:val="000000" w:themeColor="text1"/>
        </w:rPr>
        <w:t>ç</w:t>
      </w:r>
      <w:r w:rsidR="0097194F" w:rsidRPr="00BC4E44">
        <w:rPr>
          <w:rFonts w:ascii="Times New Roman" w:hAnsi="Times New Roman" w:cs="Times New Roman"/>
          <w:color w:val="000000" w:themeColor="text1"/>
        </w:rPr>
        <w:t>a</w:t>
      </w:r>
      <w:r w:rsidR="00B9493A" w:rsidRPr="00BC4E44">
        <w:rPr>
          <w:rFonts w:ascii="Times New Roman" w:hAnsi="Times New Roman" w:cs="Times New Roman"/>
          <w:color w:val="000000" w:themeColor="text1"/>
        </w:rPr>
        <w:t xml:space="preserve"> </w:t>
      </w:r>
      <w:r w:rsidR="00322DD2" w:rsidRPr="00BC4E44">
        <w:rPr>
          <w:rFonts w:ascii="Times New Roman" w:hAnsi="Times New Roman" w:cs="Times New Roman"/>
          <w:color w:val="000000" w:themeColor="text1"/>
        </w:rPr>
        <w:t>um</w:t>
      </w:r>
      <w:r w:rsidR="00B9493A" w:rsidRPr="00BC4E44">
        <w:rPr>
          <w:rFonts w:ascii="Times New Roman" w:hAnsi="Times New Roman" w:cs="Times New Roman"/>
          <w:color w:val="000000" w:themeColor="text1"/>
        </w:rPr>
        <w:t xml:space="preserve">a </w:t>
      </w:r>
      <w:r w:rsidR="001C7CB5" w:rsidRPr="00BC4E44">
        <w:rPr>
          <w:rFonts w:ascii="Times New Roman" w:hAnsi="Times New Roman" w:cs="Times New Roman"/>
          <w:color w:val="000000" w:themeColor="text1"/>
        </w:rPr>
        <w:t xml:space="preserve">concepção substancial de devido processo </w:t>
      </w:r>
      <w:r w:rsidR="008E2DEC" w:rsidRPr="00BC4E44">
        <w:rPr>
          <w:rFonts w:ascii="Times New Roman" w:hAnsi="Times New Roman" w:cs="Times New Roman"/>
          <w:color w:val="000000" w:themeColor="text1"/>
        </w:rPr>
        <w:t xml:space="preserve">constitucional, </w:t>
      </w:r>
      <w:r w:rsidR="0006426F" w:rsidRPr="00BC4E44">
        <w:rPr>
          <w:rFonts w:ascii="Times New Roman" w:hAnsi="Times New Roman" w:cs="Times New Roman"/>
          <w:color w:val="000000" w:themeColor="text1"/>
        </w:rPr>
        <w:t xml:space="preserve">cujo âmbito de proteção </w:t>
      </w:r>
      <w:r w:rsidR="007A6164" w:rsidRPr="00BC4E44">
        <w:rPr>
          <w:rFonts w:ascii="Times New Roman" w:hAnsi="Times New Roman" w:cs="Times New Roman"/>
          <w:color w:val="000000" w:themeColor="text1"/>
        </w:rPr>
        <w:t>trans</w:t>
      </w:r>
      <w:r w:rsidR="00422447" w:rsidRPr="00BC4E44">
        <w:rPr>
          <w:rFonts w:ascii="Times New Roman" w:hAnsi="Times New Roman" w:cs="Times New Roman"/>
          <w:color w:val="000000" w:themeColor="text1"/>
        </w:rPr>
        <w:t>cende a</w:t>
      </w:r>
      <w:r w:rsidR="007A6164" w:rsidRPr="00BC4E44">
        <w:rPr>
          <w:rFonts w:ascii="Times New Roman" w:hAnsi="Times New Roman" w:cs="Times New Roman"/>
          <w:color w:val="000000" w:themeColor="text1"/>
        </w:rPr>
        <w:t xml:space="preserve"> que</w:t>
      </w:r>
      <w:r w:rsidR="00A8076D" w:rsidRPr="00BC4E44">
        <w:rPr>
          <w:rFonts w:ascii="Times New Roman" w:hAnsi="Times New Roman" w:cs="Times New Roman"/>
          <w:color w:val="000000" w:themeColor="text1"/>
        </w:rPr>
        <w:t>m</w:t>
      </w:r>
      <w:r w:rsidR="0006426F" w:rsidRPr="00BC4E44">
        <w:rPr>
          <w:rFonts w:ascii="Times New Roman" w:hAnsi="Times New Roman" w:cs="Times New Roman"/>
          <w:color w:val="000000" w:themeColor="text1"/>
        </w:rPr>
        <w:t xml:space="preserve"> faz parte da relação processual ou atua diretamente no processo</w:t>
      </w:r>
      <w:r w:rsidR="007A6164" w:rsidRPr="40A753A9">
        <w:rPr>
          <w:rFonts w:ascii="Times New Roman" w:hAnsi="Times New Roman" w:cs="Times New Roman"/>
          <w:color w:val="000000" w:themeColor="text1"/>
        </w:rPr>
        <w:t xml:space="preserve"> e abrange </w:t>
      </w:r>
      <w:r w:rsidR="0006426F" w:rsidRPr="40A753A9">
        <w:rPr>
          <w:rFonts w:ascii="Times New Roman" w:hAnsi="Times New Roman" w:cs="Times New Roman"/>
          <w:color w:val="000000" w:themeColor="text1"/>
        </w:rPr>
        <w:t>todo o aparato jurisdicional</w:t>
      </w:r>
      <w:r w:rsidR="007A6164" w:rsidRPr="40A753A9">
        <w:rPr>
          <w:rFonts w:ascii="Times New Roman" w:hAnsi="Times New Roman" w:cs="Times New Roman"/>
          <w:color w:val="000000" w:themeColor="text1"/>
        </w:rPr>
        <w:t xml:space="preserve"> (</w:t>
      </w:r>
      <w:r w:rsidR="0006426F" w:rsidRPr="40A753A9">
        <w:rPr>
          <w:rFonts w:ascii="Times New Roman" w:hAnsi="Times New Roman" w:cs="Times New Roman"/>
          <w:color w:val="000000" w:themeColor="text1"/>
        </w:rPr>
        <w:t>sujeitos, instituições</w:t>
      </w:r>
      <w:r w:rsidR="007A6164" w:rsidRPr="40A753A9">
        <w:rPr>
          <w:rFonts w:ascii="Times New Roman" w:hAnsi="Times New Roman" w:cs="Times New Roman"/>
          <w:color w:val="000000" w:themeColor="text1"/>
        </w:rPr>
        <w:t xml:space="preserve">, </w:t>
      </w:r>
      <w:r w:rsidR="0006426F" w:rsidRPr="40A753A9">
        <w:rPr>
          <w:rFonts w:ascii="Times New Roman" w:hAnsi="Times New Roman" w:cs="Times New Roman"/>
          <w:color w:val="000000" w:themeColor="text1"/>
        </w:rPr>
        <w:t xml:space="preserve">órgãos públicos e </w:t>
      </w:r>
      <w:r w:rsidR="00A8076D" w:rsidRPr="40A753A9">
        <w:rPr>
          <w:rFonts w:ascii="Times New Roman" w:hAnsi="Times New Roman" w:cs="Times New Roman"/>
          <w:color w:val="000000" w:themeColor="text1"/>
        </w:rPr>
        <w:t xml:space="preserve">atores </w:t>
      </w:r>
      <w:r w:rsidR="0006426F" w:rsidRPr="40A753A9">
        <w:rPr>
          <w:rFonts w:ascii="Times New Roman" w:hAnsi="Times New Roman" w:cs="Times New Roman"/>
          <w:color w:val="000000" w:themeColor="text1"/>
        </w:rPr>
        <w:t>privados que exer</w:t>
      </w:r>
      <w:r w:rsidR="00A8076D" w:rsidRPr="40A753A9">
        <w:rPr>
          <w:rFonts w:ascii="Times New Roman" w:hAnsi="Times New Roman" w:cs="Times New Roman"/>
          <w:color w:val="000000" w:themeColor="text1"/>
        </w:rPr>
        <w:t>ça</w:t>
      </w:r>
      <w:r w:rsidR="0006426F" w:rsidRPr="40A753A9">
        <w:rPr>
          <w:rFonts w:ascii="Times New Roman" w:hAnsi="Times New Roman" w:cs="Times New Roman"/>
          <w:color w:val="000000" w:themeColor="text1"/>
        </w:rPr>
        <w:t>m</w:t>
      </w:r>
      <w:r w:rsidR="00A8076D" w:rsidRPr="40A753A9">
        <w:rPr>
          <w:rFonts w:ascii="Times New Roman" w:hAnsi="Times New Roman" w:cs="Times New Roman"/>
          <w:color w:val="000000" w:themeColor="text1"/>
        </w:rPr>
        <w:t xml:space="preserve"> </w:t>
      </w:r>
      <w:r w:rsidR="0006426F" w:rsidRPr="40A753A9">
        <w:rPr>
          <w:rFonts w:ascii="Times New Roman" w:hAnsi="Times New Roman" w:cs="Times New Roman"/>
          <w:color w:val="000000" w:themeColor="text1"/>
        </w:rPr>
        <w:t xml:space="preserve">funções </w:t>
      </w:r>
      <w:r w:rsidR="007A6164" w:rsidRPr="40A753A9">
        <w:rPr>
          <w:rFonts w:ascii="Times New Roman" w:hAnsi="Times New Roman" w:cs="Times New Roman"/>
          <w:color w:val="000000" w:themeColor="text1"/>
        </w:rPr>
        <w:t>qualificadas</w:t>
      </w:r>
      <w:r w:rsidR="0006426F" w:rsidRPr="40A753A9">
        <w:rPr>
          <w:rFonts w:ascii="Times New Roman" w:hAnsi="Times New Roman" w:cs="Times New Roman"/>
          <w:color w:val="000000" w:themeColor="text1"/>
        </w:rPr>
        <w:t>, constitucionalmente, como essenciais à Justiça</w:t>
      </w:r>
      <w:r w:rsidR="007A6164" w:rsidRPr="40A753A9">
        <w:rPr>
          <w:rFonts w:ascii="Times New Roman" w:hAnsi="Times New Roman" w:cs="Times New Roman"/>
          <w:color w:val="000000" w:themeColor="text1"/>
        </w:rPr>
        <w:t>)</w:t>
      </w:r>
      <w:r w:rsidRPr="40A753A9">
        <w:rPr>
          <w:rStyle w:val="Refdenotaderodap"/>
          <w:rFonts w:ascii="Times New Roman" w:hAnsi="Times New Roman" w:cs="Times New Roman"/>
          <w:color w:val="000000" w:themeColor="text1"/>
        </w:rPr>
        <w:footnoteReference w:id="12"/>
      </w:r>
      <w:r w:rsidR="007A6164" w:rsidRPr="40A753A9">
        <w:rPr>
          <w:rFonts w:ascii="Times New Roman" w:hAnsi="Times New Roman" w:cs="Times New Roman"/>
          <w:color w:val="000000" w:themeColor="text1"/>
        </w:rPr>
        <w:t>.</w:t>
      </w:r>
      <w:r w:rsidR="00D454DE" w:rsidRPr="40A753A9">
        <w:rPr>
          <w:rFonts w:ascii="Times New Roman" w:hAnsi="Times New Roman" w:cs="Times New Roman"/>
          <w:color w:val="000000" w:themeColor="text1"/>
        </w:rPr>
        <w:t xml:space="preserve"> </w:t>
      </w:r>
      <w:r w:rsidR="002D0B17" w:rsidRPr="40A753A9">
        <w:rPr>
          <w:rFonts w:ascii="Times New Roman" w:hAnsi="Times New Roman" w:cs="Times New Roman"/>
          <w:color w:val="000000" w:themeColor="text1"/>
        </w:rPr>
        <w:t>Dessa maneira, a atuação administrativa-disciplinar somente será legitimada se desenvolvida em um procedimento que observe</w:t>
      </w:r>
      <w:r w:rsidR="00576FF8" w:rsidRPr="40A753A9">
        <w:rPr>
          <w:rFonts w:ascii="Times New Roman" w:hAnsi="Times New Roman" w:cs="Times New Roman"/>
          <w:color w:val="000000" w:themeColor="text1"/>
        </w:rPr>
        <w:t xml:space="preserve"> e cumpra</w:t>
      </w:r>
      <w:r w:rsidR="002D0B17" w:rsidRPr="40A753A9">
        <w:rPr>
          <w:rFonts w:ascii="Times New Roman" w:hAnsi="Times New Roman" w:cs="Times New Roman"/>
          <w:color w:val="000000" w:themeColor="text1"/>
        </w:rPr>
        <w:t xml:space="preserve">, efetivamente, </w:t>
      </w:r>
      <w:r w:rsidR="00576FF8" w:rsidRPr="40A753A9">
        <w:rPr>
          <w:rFonts w:ascii="Times New Roman" w:hAnsi="Times New Roman" w:cs="Times New Roman"/>
          <w:color w:val="000000" w:themeColor="text1"/>
        </w:rPr>
        <w:t xml:space="preserve">todas as </w:t>
      </w:r>
      <w:r w:rsidR="002D0B17" w:rsidRPr="40A753A9">
        <w:rPr>
          <w:rFonts w:ascii="Times New Roman" w:hAnsi="Times New Roman" w:cs="Times New Roman"/>
          <w:color w:val="000000" w:themeColor="text1"/>
        </w:rPr>
        <w:t xml:space="preserve">regras e princípios previamente </w:t>
      </w:r>
      <w:r w:rsidR="00576FF8" w:rsidRPr="40A753A9">
        <w:rPr>
          <w:rFonts w:ascii="Times New Roman" w:hAnsi="Times New Roman" w:cs="Times New Roman"/>
          <w:color w:val="000000" w:themeColor="text1"/>
        </w:rPr>
        <w:t xml:space="preserve">fixados, de natureza </w:t>
      </w:r>
      <w:r w:rsidR="00E756C9" w:rsidRPr="40A753A9">
        <w:rPr>
          <w:rFonts w:ascii="Times New Roman" w:hAnsi="Times New Roman" w:cs="Times New Roman"/>
          <w:color w:val="000000" w:themeColor="text1"/>
        </w:rPr>
        <w:t>constitucional</w:t>
      </w:r>
      <w:r w:rsidR="00576FF8" w:rsidRPr="40A753A9">
        <w:rPr>
          <w:rFonts w:ascii="Times New Roman" w:hAnsi="Times New Roman" w:cs="Times New Roman"/>
          <w:color w:val="000000" w:themeColor="text1"/>
        </w:rPr>
        <w:t xml:space="preserve"> ou legal</w:t>
      </w:r>
      <w:r w:rsidR="009A7F3A" w:rsidRPr="40A753A9">
        <w:rPr>
          <w:rFonts w:ascii="Times New Roman" w:hAnsi="Times New Roman" w:cs="Times New Roman"/>
          <w:color w:val="000000" w:themeColor="text1"/>
        </w:rPr>
        <w:t>, a partir do qual decorrerá</w:t>
      </w:r>
      <w:r w:rsidR="00E756C9" w:rsidRPr="40A753A9">
        <w:rPr>
          <w:rFonts w:ascii="Times New Roman" w:hAnsi="Times New Roman" w:cs="Times New Roman"/>
          <w:color w:val="000000" w:themeColor="text1"/>
        </w:rPr>
        <w:t xml:space="preserve"> a legitimidade democrática da decisão</w:t>
      </w:r>
      <w:r w:rsidRPr="40A753A9">
        <w:rPr>
          <w:rStyle w:val="Refdenotaderodap"/>
          <w:rFonts w:ascii="Times New Roman" w:hAnsi="Times New Roman" w:cs="Times New Roman"/>
          <w:color w:val="000000" w:themeColor="text1"/>
        </w:rPr>
        <w:footnoteReference w:id="13"/>
      </w:r>
      <w:r w:rsidR="00E756C9" w:rsidRPr="40A753A9">
        <w:rPr>
          <w:rFonts w:ascii="Times New Roman" w:hAnsi="Times New Roman" w:cs="Times New Roman"/>
          <w:color w:val="000000" w:themeColor="text1"/>
        </w:rPr>
        <w:t>.</w:t>
      </w:r>
    </w:p>
    <w:p w14:paraId="64FE608E" w14:textId="1EB0DCE6" w:rsidR="009F5F49" w:rsidRPr="00BC4E44" w:rsidRDefault="001C05BE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 xml:space="preserve"> </w:t>
      </w:r>
      <w:r w:rsidR="0037107F" w:rsidRPr="00BC4E44">
        <w:rPr>
          <w:rFonts w:ascii="Times New Roman" w:hAnsi="Times New Roman" w:cs="Times New Roman"/>
          <w:color w:val="000000" w:themeColor="text1"/>
        </w:rPr>
        <w:t xml:space="preserve">É na acepção originária do princípio do devido processo legal </w:t>
      </w:r>
      <w:r w:rsidR="007F7807" w:rsidRPr="00BC4E44">
        <w:rPr>
          <w:rFonts w:ascii="Times New Roman" w:hAnsi="Times New Roman" w:cs="Times New Roman"/>
          <w:color w:val="000000" w:themeColor="text1"/>
        </w:rPr>
        <w:t>que se encontra a vinculação do Estado ao dever de proteção e respeito ao indivíduo contra exposição a ofensas e humilhações.</w:t>
      </w:r>
      <w:r w:rsidR="00427D9D" w:rsidRPr="00BC4E44">
        <w:rPr>
          <w:rFonts w:ascii="Times New Roman" w:hAnsi="Times New Roman" w:cs="Times New Roman"/>
          <w:color w:val="000000" w:themeColor="text1"/>
        </w:rPr>
        <w:t xml:space="preserve"> </w:t>
      </w:r>
      <w:r w:rsidR="009E2DE3" w:rsidRPr="00BC4E44">
        <w:rPr>
          <w:rFonts w:ascii="Times New Roman" w:hAnsi="Times New Roman" w:cs="Times New Roman"/>
          <w:color w:val="000000" w:themeColor="text1"/>
        </w:rPr>
        <w:t>Se ausentes</w:t>
      </w:r>
      <w:r w:rsidR="008C76D5" w:rsidRPr="00BC4E44">
        <w:rPr>
          <w:rFonts w:ascii="Times New Roman" w:hAnsi="Times New Roman" w:cs="Times New Roman"/>
          <w:color w:val="000000" w:themeColor="text1"/>
        </w:rPr>
        <w:t>, viola-se o princípio da dignidade da pessoa humana, uma vez que, assim como ocorre com o devido processo legal, exerce função subsi</w:t>
      </w:r>
      <w:r w:rsidR="001A35A6" w:rsidRPr="00BC4E44">
        <w:rPr>
          <w:rFonts w:ascii="Times New Roman" w:hAnsi="Times New Roman" w:cs="Times New Roman"/>
          <w:color w:val="000000" w:themeColor="text1"/>
        </w:rPr>
        <w:t xml:space="preserve">diária em relação às garantias </w:t>
      </w:r>
      <w:r w:rsidR="009E2DE3" w:rsidRPr="00BC4E44">
        <w:rPr>
          <w:rFonts w:ascii="Times New Roman" w:hAnsi="Times New Roman" w:cs="Times New Roman"/>
          <w:color w:val="000000" w:themeColor="text1"/>
        </w:rPr>
        <w:t>constitucionais</w:t>
      </w:r>
      <w:r w:rsidR="001A35A6" w:rsidRPr="00BC4E44">
        <w:rPr>
          <w:rFonts w:ascii="Times New Roman" w:hAnsi="Times New Roman" w:cs="Times New Roman"/>
          <w:color w:val="000000" w:themeColor="text1"/>
        </w:rPr>
        <w:t xml:space="preserve"> específicas de qualquer procedimento.</w:t>
      </w:r>
      <w:r w:rsidR="009E2DE3" w:rsidRPr="00BC4E44">
        <w:rPr>
          <w:rStyle w:val="Refdenotaderodap"/>
          <w:rFonts w:ascii="Times New Roman" w:hAnsi="Times New Roman" w:cs="Times New Roman"/>
          <w:color w:val="000000" w:themeColor="text1"/>
        </w:rPr>
        <w:footnoteReference w:id="14"/>
      </w:r>
      <w:r w:rsidR="005A158A" w:rsidRPr="00BC4E44">
        <w:rPr>
          <w:rFonts w:ascii="Times New Roman" w:hAnsi="Times New Roman" w:cs="Times New Roman"/>
          <w:color w:val="000000" w:themeColor="text1"/>
        </w:rPr>
        <w:t xml:space="preserve"> </w:t>
      </w:r>
      <w:r w:rsidR="00660630" w:rsidRPr="00BC4E44">
        <w:rPr>
          <w:rFonts w:ascii="Times New Roman" w:hAnsi="Times New Roman" w:cs="Times New Roman"/>
          <w:color w:val="000000" w:themeColor="text1"/>
        </w:rPr>
        <w:t>Nesse sentido, a</w:t>
      </w:r>
      <w:r w:rsidR="000A25B1" w:rsidRPr="00BC4E44">
        <w:rPr>
          <w:rFonts w:ascii="Times New Roman" w:hAnsi="Times New Roman" w:cs="Times New Roman"/>
          <w:color w:val="000000" w:themeColor="text1"/>
        </w:rPr>
        <w:t xml:space="preserve"> tutela e a efetivação de direitos fundamentais </w:t>
      </w:r>
      <w:r w:rsidR="001E2198" w:rsidRPr="00BC4E44">
        <w:rPr>
          <w:rFonts w:ascii="Times New Roman" w:hAnsi="Times New Roman" w:cs="Times New Roman"/>
          <w:color w:val="000000" w:themeColor="text1"/>
        </w:rPr>
        <w:t>precedem todo e qualquer amparo normativo</w:t>
      </w:r>
      <w:r w:rsidR="00E85BC7" w:rsidRPr="00BC4E44">
        <w:rPr>
          <w:rFonts w:ascii="Times New Roman" w:hAnsi="Times New Roman" w:cs="Times New Roman"/>
          <w:color w:val="000000" w:themeColor="text1"/>
        </w:rPr>
        <w:t>, inclusive para vítimas e testemunhas</w:t>
      </w:r>
      <w:r w:rsidR="00660630" w:rsidRPr="00BC4E44">
        <w:rPr>
          <w:rFonts w:ascii="Times New Roman" w:hAnsi="Times New Roman" w:cs="Times New Roman"/>
          <w:color w:val="000000" w:themeColor="text1"/>
        </w:rPr>
        <w:t xml:space="preserve">, de maneira que a </w:t>
      </w:r>
      <w:r w:rsidR="001673E7" w:rsidRPr="00BC4E44">
        <w:rPr>
          <w:rFonts w:ascii="Times New Roman" w:hAnsi="Times New Roman" w:cs="Times New Roman"/>
          <w:color w:val="000000" w:themeColor="text1"/>
        </w:rPr>
        <w:t xml:space="preserve">limitação do poder público e </w:t>
      </w:r>
      <w:r w:rsidR="00660630" w:rsidRPr="00BC4E44">
        <w:rPr>
          <w:rFonts w:ascii="Times New Roman" w:hAnsi="Times New Roman" w:cs="Times New Roman"/>
          <w:color w:val="000000" w:themeColor="text1"/>
        </w:rPr>
        <w:t xml:space="preserve">a </w:t>
      </w:r>
      <w:r w:rsidR="001673E7" w:rsidRPr="00BC4E44">
        <w:rPr>
          <w:rFonts w:ascii="Times New Roman" w:hAnsi="Times New Roman" w:cs="Times New Roman"/>
          <w:color w:val="000000" w:themeColor="text1"/>
        </w:rPr>
        <w:t>prot</w:t>
      </w:r>
      <w:r w:rsidR="009E53D5" w:rsidRPr="00BC4E44">
        <w:rPr>
          <w:rFonts w:ascii="Times New Roman" w:hAnsi="Times New Roman" w:cs="Times New Roman"/>
          <w:color w:val="000000" w:themeColor="text1"/>
        </w:rPr>
        <w:t>eção da</w:t>
      </w:r>
      <w:r w:rsidR="001673E7" w:rsidRPr="00BC4E44">
        <w:rPr>
          <w:rFonts w:ascii="Times New Roman" w:hAnsi="Times New Roman" w:cs="Times New Roman"/>
          <w:color w:val="000000" w:themeColor="text1"/>
        </w:rPr>
        <w:t xml:space="preserve"> formação de maiorias</w:t>
      </w:r>
      <w:r w:rsidR="00B42109" w:rsidRPr="00BC4E44">
        <w:rPr>
          <w:rFonts w:ascii="Times New Roman" w:hAnsi="Times New Roman" w:cs="Times New Roman"/>
          <w:color w:val="000000" w:themeColor="text1"/>
        </w:rPr>
        <w:t xml:space="preserve"> </w:t>
      </w:r>
      <w:r w:rsidR="001673E7" w:rsidRPr="00BC4E44">
        <w:rPr>
          <w:rFonts w:ascii="Times New Roman" w:hAnsi="Times New Roman" w:cs="Times New Roman"/>
          <w:color w:val="000000" w:themeColor="text1"/>
        </w:rPr>
        <w:t xml:space="preserve">tendentes a ferir, mitigar ou cercear os </w:t>
      </w:r>
      <w:r w:rsidR="00E85BC7" w:rsidRPr="00BC4E44">
        <w:rPr>
          <w:rFonts w:ascii="Times New Roman" w:hAnsi="Times New Roman" w:cs="Times New Roman"/>
          <w:color w:val="000000" w:themeColor="text1"/>
        </w:rPr>
        <w:t xml:space="preserve">seus </w:t>
      </w:r>
      <w:r w:rsidR="001673E7" w:rsidRPr="00BC4E44">
        <w:rPr>
          <w:rFonts w:ascii="Times New Roman" w:hAnsi="Times New Roman" w:cs="Times New Roman"/>
          <w:color w:val="000000" w:themeColor="text1"/>
        </w:rPr>
        <w:t xml:space="preserve">direitos fundamentais </w:t>
      </w:r>
      <w:r w:rsidR="00660630" w:rsidRPr="00BC4E44">
        <w:rPr>
          <w:rFonts w:ascii="Times New Roman" w:hAnsi="Times New Roman" w:cs="Times New Roman"/>
          <w:color w:val="000000" w:themeColor="text1"/>
        </w:rPr>
        <w:t>devem</w:t>
      </w:r>
      <w:r w:rsidR="00E85BC7" w:rsidRPr="00BC4E44">
        <w:rPr>
          <w:rFonts w:ascii="Times New Roman" w:hAnsi="Times New Roman" w:cs="Times New Roman"/>
          <w:color w:val="000000" w:themeColor="text1"/>
        </w:rPr>
        <w:t xml:space="preserve"> ocupar </w:t>
      </w:r>
      <w:r w:rsidR="005D3B5D" w:rsidRPr="00BC4E44">
        <w:rPr>
          <w:rFonts w:ascii="Times New Roman" w:hAnsi="Times New Roman" w:cs="Times New Roman"/>
          <w:color w:val="000000" w:themeColor="text1"/>
        </w:rPr>
        <w:t>um espaço de constante vigilância</w:t>
      </w:r>
      <w:r w:rsidR="001673E7" w:rsidRPr="00BC4E44">
        <w:rPr>
          <w:rFonts w:ascii="Times New Roman" w:hAnsi="Times New Roman" w:cs="Times New Roman"/>
          <w:color w:val="000000" w:themeColor="text1"/>
        </w:rPr>
        <w:t>.</w:t>
      </w:r>
    </w:p>
    <w:p w14:paraId="622BE539" w14:textId="511E88DB" w:rsidR="00BF631A" w:rsidRPr="00BC4E44" w:rsidRDefault="00CE79CC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 xml:space="preserve">Convém esclarecer que </w:t>
      </w:r>
      <w:r w:rsidR="00B6368F" w:rsidRPr="00BC4E44">
        <w:rPr>
          <w:rFonts w:ascii="Times New Roman" w:hAnsi="Times New Roman" w:cs="Times New Roman"/>
          <w:color w:val="000000" w:themeColor="text1"/>
        </w:rPr>
        <w:t>os efeitos da norma</w:t>
      </w:r>
      <w:r w:rsidR="0097554A">
        <w:rPr>
          <w:rFonts w:ascii="Times New Roman" w:hAnsi="Times New Roman" w:cs="Times New Roman"/>
          <w:color w:val="000000" w:themeColor="text1"/>
        </w:rPr>
        <w:t xml:space="preserve"> em comento</w:t>
      </w:r>
      <w:r w:rsidR="00B6368F" w:rsidRPr="00BC4E44">
        <w:rPr>
          <w:rFonts w:ascii="Times New Roman" w:hAnsi="Times New Roman" w:cs="Times New Roman"/>
          <w:color w:val="000000" w:themeColor="text1"/>
        </w:rPr>
        <w:t xml:space="preserve"> não restringem o exercício do direito à ampla defesa e ao contraditório do </w:t>
      </w:r>
      <w:r w:rsidR="00C86C79" w:rsidRPr="00BC4E44">
        <w:rPr>
          <w:rFonts w:ascii="Times New Roman" w:hAnsi="Times New Roman" w:cs="Times New Roman"/>
          <w:color w:val="000000" w:themeColor="text1"/>
        </w:rPr>
        <w:t xml:space="preserve">magistrado investigado, haja vista </w:t>
      </w:r>
      <w:r w:rsidR="00DD3A30" w:rsidRPr="00BC4E44">
        <w:rPr>
          <w:rFonts w:ascii="Times New Roman" w:hAnsi="Times New Roman" w:cs="Times New Roman"/>
          <w:color w:val="000000" w:themeColor="text1"/>
        </w:rPr>
        <w:t xml:space="preserve">que a orientação adotada teve por fundamento a necessidade de vedar a utilização de recurso retórico e argumentativo, </w:t>
      </w:r>
      <w:r w:rsidR="0053591B" w:rsidRPr="00BC4E44">
        <w:rPr>
          <w:rFonts w:ascii="Times New Roman" w:hAnsi="Times New Roman" w:cs="Times New Roman"/>
          <w:color w:val="000000" w:themeColor="text1"/>
        </w:rPr>
        <w:t>caracterizado pela impertinência, discriminação e/ou humilhação</w:t>
      </w:r>
      <w:r w:rsidR="00DD3A30" w:rsidRPr="00BC4E44">
        <w:rPr>
          <w:rFonts w:ascii="Times New Roman" w:hAnsi="Times New Roman" w:cs="Times New Roman"/>
          <w:color w:val="000000" w:themeColor="text1"/>
        </w:rPr>
        <w:t xml:space="preserve">, como forma de deslocar </w:t>
      </w:r>
      <w:r w:rsidR="0053591B" w:rsidRPr="00BC4E44">
        <w:rPr>
          <w:rFonts w:ascii="Times New Roman" w:hAnsi="Times New Roman" w:cs="Times New Roman"/>
          <w:color w:val="000000" w:themeColor="text1"/>
        </w:rPr>
        <w:t>à</w:t>
      </w:r>
      <w:r w:rsidR="00DD3A30" w:rsidRPr="00BC4E44">
        <w:rPr>
          <w:rFonts w:ascii="Times New Roman" w:hAnsi="Times New Roman" w:cs="Times New Roman"/>
          <w:color w:val="000000" w:themeColor="text1"/>
        </w:rPr>
        <w:t>s vítimas a responsabilidade p</w:t>
      </w:r>
      <w:r w:rsidR="0053591B" w:rsidRPr="00BC4E44">
        <w:rPr>
          <w:rFonts w:ascii="Times New Roman" w:hAnsi="Times New Roman" w:cs="Times New Roman"/>
          <w:color w:val="000000" w:themeColor="text1"/>
        </w:rPr>
        <w:t>or</w:t>
      </w:r>
      <w:r w:rsidR="00DD3A30" w:rsidRPr="00BC4E44">
        <w:rPr>
          <w:rFonts w:ascii="Times New Roman" w:hAnsi="Times New Roman" w:cs="Times New Roman"/>
          <w:color w:val="000000" w:themeColor="text1"/>
        </w:rPr>
        <w:t xml:space="preserve"> conduta</w:t>
      </w:r>
      <w:r w:rsidR="0053591B" w:rsidRPr="00BC4E44">
        <w:rPr>
          <w:rFonts w:ascii="Times New Roman" w:hAnsi="Times New Roman" w:cs="Times New Roman"/>
          <w:color w:val="000000" w:themeColor="text1"/>
        </w:rPr>
        <w:t>s</w:t>
      </w:r>
      <w:r w:rsidR="00DD3A30" w:rsidRPr="00BC4E44">
        <w:rPr>
          <w:rFonts w:ascii="Times New Roman" w:hAnsi="Times New Roman" w:cs="Times New Roman"/>
          <w:color w:val="000000" w:themeColor="text1"/>
        </w:rPr>
        <w:t xml:space="preserve"> violenta</w:t>
      </w:r>
      <w:r w:rsidR="0053591B" w:rsidRPr="00BC4E44">
        <w:rPr>
          <w:rFonts w:ascii="Times New Roman" w:hAnsi="Times New Roman" w:cs="Times New Roman"/>
          <w:color w:val="000000" w:themeColor="text1"/>
        </w:rPr>
        <w:t>s</w:t>
      </w:r>
      <w:r w:rsidR="00DD3A30" w:rsidRPr="00BC4E44">
        <w:rPr>
          <w:rFonts w:ascii="Times New Roman" w:hAnsi="Times New Roman" w:cs="Times New Roman"/>
          <w:color w:val="000000" w:themeColor="text1"/>
        </w:rPr>
        <w:t xml:space="preserve"> contra elas praticada</w:t>
      </w:r>
      <w:r w:rsidR="0053591B" w:rsidRPr="00BC4E44">
        <w:rPr>
          <w:rFonts w:ascii="Times New Roman" w:hAnsi="Times New Roman" w:cs="Times New Roman"/>
          <w:color w:val="000000" w:themeColor="text1"/>
        </w:rPr>
        <w:t>s</w:t>
      </w:r>
      <w:r w:rsidR="00DD3A30" w:rsidRPr="00BC4E44">
        <w:rPr>
          <w:rFonts w:ascii="Times New Roman" w:hAnsi="Times New Roman" w:cs="Times New Roman"/>
          <w:color w:val="000000" w:themeColor="text1"/>
        </w:rPr>
        <w:t>.</w:t>
      </w:r>
      <w:r w:rsidR="0053591B" w:rsidRPr="00BC4E44">
        <w:rPr>
          <w:rFonts w:ascii="Times New Roman" w:hAnsi="Times New Roman" w:cs="Times New Roman"/>
          <w:color w:val="000000" w:themeColor="text1"/>
        </w:rPr>
        <w:t xml:space="preserve"> </w:t>
      </w:r>
    </w:p>
    <w:p w14:paraId="5BEB3CFD" w14:textId="64BDA1B5" w:rsidR="00BD3B6C" w:rsidRPr="00BC4E44" w:rsidRDefault="0053591B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>Dessa forma, interpreta-se a regra também como uma exigência de pertinência probatória</w:t>
      </w:r>
      <w:r w:rsidR="00A27F0B" w:rsidRPr="00BC4E44">
        <w:rPr>
          <w:rFonts w:ascii="Times New Roman" w:hAnsi="Times New Roman" w:cs="Times New Roman"/>
          <w:color w:val="000000" w:themeColor="text1"/>
        </w:rPr>
        <w:t xml:space="preserve">, ou seja, </w:t>
      </w:r>
      <w:r w:rsidR="0009517C" w:rsidRPr="00BC4E44">
        <w:rPr>
          <w:rFonts w:ascii="Times New Roman" w:hAnsi="Times New Roman" w:cs="Times New Roman"/>
          <w:color w:val="000000" w:themeColor="text1"/>
        </w:rPr>
        <w:t xml:space="preserve">se não houver conexão entre a prova e os fatos controvertidos, </w:t>
      </w:r>
      <w:r w:rsidR="00336FC7" w:rsidRPr="00BC4E44">
        <w:rPr>
          <w:rFonts w:ascii="Times New Roman" w:hAnsi="Times New Roman" w:cs="Times New Roman"/>
          <w:color w:val="000000" w:themeColor="text1"/>
        </w:rPr>
        <w:t>inexistirá</w:t>
      </w:r>
      <w:r w:rsidR="00FA4053" w:rsidRPr="00BC4E44">
        <w:rPr>
          <w:rFonts w:ascii="Times New Roman" w:hAnsi="Times New Roman" w:cs="Times New Roman"/>
          <w:color w:val="000000" w:themeColor="text1"/>
        </w:rPr>
        <w:t xml:space="preserve"> pertinência e a prova não </w:t>
      </w:r>
      <w:r w:rsidR="00336FC7" w:rsidRPr="00BC4E44">
        <w:rPr>
          <w:rFonts w:ascii="Times New Roman" w:hAnsi="Times New Roman" w:cs="Times New Roman"/>
          <w:color w:val="000000" w:themeColor="text1"/>
        </w:rPr>
        <w:t>poderá</w:t>
      </w:r>
      <w:r w:rsidR="00FA4053" w:rsidRPr="00BC4E44">
        <w:rPr>
          <w:rFonts w:ascii="Times New Roman" w:hAnsi="Times New Roman" w:cs="Times New Roman"/>
          <w:color w:val="000000" w:themeColor="text1"/>
        </w:rPr>
        <w:t xml:space="preserve"> ser admitida e, consequentemente, valorada.</w:t>
      </w:r>
      <w:r w:rsidR="00BF631A" w:rsidRPr="00BC4E44">
        <w:rPr>
          <w:rFonts w:ascii="Times New Roman" w:hAnsi="Times New Roman" w:cs="Times New Roman"/>
          <w:color w:val="000000" w:themeColor="text1"/>
        </w:rPr>
        <w:t xml:space="preserve"> </w:t>
      </w:r>
      <w:r w:rsidR="00BD3B6C" w:rsidRPr="00BC4E44">
        <w:rPr>
          <w:rFonts w:ascii="Times New Roman" w:hAnsi="Times New Roman" w:cs="Times New Roman"/>
          <w:color w:val="000000" w:themeColor="text1"/>
        </w:rPr>
        <w:t>Os limites lógicos determinam as exclusões de provas impertinentes e irrelevantes</w:t>
      </w:r>
      <w:r w:rsidR="00336FC7" w:rsidRPr="00BC4E44">
        <w:rPr>
          <w:rFonts w:ascii="Times New Roman" w:hAnsi="Times New Roman" w:cs="Times New Roman"/>
          <w:color w:val="000000" w:themeColor="text1"/>
        </w:rPr>
        <w:t xml:space="preserve">; nesse contexto, </w:t>
      </w:r>
      <w:r w:rsidR="004D7D70" w:rsidRPr="00BC4E44">
        <w:rPr>
          <w:rFonts w:ascii="Times New Roman" w:hAnsi="Times New Roman" w:cs="Times New Roman"/>
          <w:color w:val="000000" w:themeColor="text1"/>
        </w:rPr>
        <w:t xml:space="preserve">se o fato trazido pela prova (por exemplo, as experiências sexuais pregressas das vítimas) não </w:t>
      </w:r>
      <w:r w:rsidR="001A18A4" w:rsidRPr="00BC4E44">
        <w:rPr>
          <w:rFonts w:ascii="Times New Roman" w:hAnsi="Times New Roman" w:cs="Times New Roman"/>
          <w:color w:val="000000" w:themeColor="text1"/>
        </w:rPr>
        <w:t>se relaciona</w:t>
      </w:r>
      <w:r w:rsidR="004D7D70" w:rsidRPr="00BC4E44">
        <w:rPr>
          <w:rFonts w:ascii="Times New Roman" w:hAnsi="Times New Roman" w:cs="Times New Roman"/>
          <w:color w:val="000000" w:themeColor="text1"/>
        </w:rPr>
        <w:t xml:space="preserve"> ao fato objeto do procedimento</w:t>
      </w:r>
      <w:r w:rsidR="001A18A4" w:rsidRPr="00BC4E44">
        <w:rPr>
          <w:rFonts w:ascii="Times New Roman" w:hAnsi="Times New Roman" w:cs="Times New Roman"/>
          <w:color w:val="000000" w:themeColor="text1"/>
        </w:rPr>
        <w:t xml:space="preserve"> (</w:t>
      </w:r>
      <w:r w:rsidR="00A46908" w:rsidRPr="00BC4E44">
        <w:rPr>
          <w:rFonts w:ascii="Times New Roman" w:hAnsi="Times New Roman" w:cs="Times New Roman"/>
          <w:color w:val="000000" w:themeColor="text1"/>
        </w:rPr>
        <w:t xml:space="preserve">assédio sexual no ambiente de trabalho), </w:t>
      </w:r>
      <w:r w:rsidR="00972230" w:rsidRPr="00BC4E44">
        <w:rPr>
          <w:rFonts w:ascii="Times New Roman" w:hAnsi="Times New Roman" w:cs="Times New Roman"/>
          <w:color w:val="000000" w:themeColor="text1"/>
        </w:rPr>
        <w:t>não há que se falar em qualquer apreciação concret</w:t>
      </w:r>
      <w:r w:rsidR="4FB22281" w:rsidRPr="40A753A9">
        <w:rPr>
          <w:rFonts w:ascii="Times New Roman" w:hAnsi="Times New Roman" w:cs="Times New Roman"/>
          <w:color w:val="000000" w:themeColor="text1"/>
        </w:rPr>
        <w:t>a</w:t>
      </w:r>
      <w:r w:rsidR="00972230" w:rsidRPr="40A753A9">
        <w:rPr>
          <w:rFonts w:ascii="Times New Roman" w:hAnsi="Times New Roman" w:cs="Times New Roman"/>
          <w:color w:val="000000" w:themeColor="text1"/>
        </w:rPr>
        <w:t xml:space="preserve"> do efeito potencial dessa prova quanto ao seu valor</w:t>
      </w:r>
      <w:r w:rsidRPr="40A753A9">
        <w:rPr>
          <w:rStyle w:val="Refdenotaderodap"/>
          <w:rFonts w:ascii="Times New Roman" w:hAnsi="Times New Roman" w:cs="Times New Roman"/>
          <w:color w:val="000000" w:themeColor="text1"/>
        </w:rPr>
        <w:footnoteReference w:id="15"/>
      </w:r>
      <w:r w:rsidR="00972230" w:rsidRPr="40A753A9">
        <w:rPr>
          <w:rFonts w:ascii="Times New Roman" w:hAnsi="Times New Roman" w:cs="Times New Roman"/>
          <w:color w:val="000000" w:themeColor="text1"/>
        </w:rPr>
        <w:t>.</w:t>
      </w:r>
      <w:r w:rsidRPr="40A753A9">
        <w:rPr>
          <w:rStyle w:val="Refdenotaderodap"/>
          <w:rFonts w:ascii="Times New Roman" w:hAnsi="Times New Roman" w:cs="Times New Roman"/>
          <w:color w:val="000000" w:themeColor="text1"/>
        </w:rPr>
        <w:footnoteReference w:id="16"/>
      </w:r>
      <w:r w:rsidR="004778CA" w:rsidRPr="40A753A9">
        <w:rPr>
          <w:rFonts w:ascii="Times New Roman" w:hAnsi="Times New Roman" w:cs="Times New Roman"/>
          <w:color w:val="000000" w:themeColor="text1"/>
        </w:rPr>
        <w:t xml:space="preserve"> </w:t>
      </w:r>
    </w:p>
    <w:p w14:paraId="02C7358C" w14:textId="3B04BE76" w:rsidR="00050D8E" w:rsidRPr="00BC4E44" w:rsidRDefault="00050D8E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>Além disso, a Resolução CNJ nº. 680/2026 deve ser compreendida à luz da competência constitucional do Conselho Nacional de Justiça para controlar a atuação administrativa do Poder Judiciário e zelar pelo cumprimento dos deveres funcionais dos magistrados. Ao acrescentar o art</w:t>
      </w:r>
      <w:r w:rsidR="009C5317" w:rsidRPr="00BC4E44">
        <w:rPr>
          <w:rFonts w:ascii="Times New Roman" w:hAnsi="Times New Roman" w:cs="Times New Roman"/>
          <w:color w:val="000000" w:themeColor="text1"/>
        </w:rPr>
        <w:t>igo</w:t>
      </w:r>
      <w:r w:rsidRPr="00BC4E44">
        <w:rPr>
          <w:rFonts w:ascii="Times New Roman" w:hAnsi="Times New Roman" w:cs="Times New Roman"/>
          <w:color w:val="000000" w:themeColor="text1"/>
        </w:rPr>
        <w:t xml:space="preserve"> 18-A à Resolução CNJ n</w:t>
      </w:r>
      <w:r w:rsidR="009C5317" w:rsidRPr="00BC4E44">
        <w:rPr>
          <w:rFonts w:ascii="Times New Roman" w:hAnsi="Times New Roman" w:cs="Times New Roman"/>
          <w:color w:val="000000" w:themeColor="text1"/>
        </w:rPr>
        <w:t>º</w:t>
      </w:r>
      <w:r w:rsidRPr="00BC4E44">
        <w:rPr>
          <w:rFonts w:ascii="Times New Roman" w:hAnsi="Times New Roman" w:cs="Times New Roman"/>
          <w:color w:val="000000" w:themeColor="text1"/>
        </w:rPr>
        <w:t>. 135/2011, o CNJ densifica, no âmbito de sua competência regulamentar</w:t>
      </w:r>
      <w:r w:rsidR="008E686C" w:rsidRPr="00BC4E44">
        <w:rPr>
          <w:rStyle w:val="Refdenotaderodap"/>
          <w:rFonts w:ascii="Times New Roman" w:hAnsi="Times New Roman" w:cs="Times New Roman"/>
          <w:color w:val="000000" w:themeColor="text1"/>
        </w:rPr>
        <w:footnoteReference w:id="17"/>
      </w:r>
      <w:r w:rsidRPr="00BC4E44">
        <w:rPr>
          <w:rFonts w:ascii="Times New Roman" w:hAnsi="Times New Roman" w:cs="Times New Roman"/>
          <w:color w:val="000000" w:themeColor="text1"/>
        </w:rPr>
        <w:t xml:space="preserve">, parâmetros constitucionais e legais já incidentes sobre </w:t>
      </w:r>
      <w:r w:rsidR="009C5317" w:rsidRPr="00BC4E44">
        <w:rPr>
          <w:rFonts w:ascii="Times New Roman" w:hAnsi="Times New Roman" w:cs="Times New Roman"/>
          <w:color w:val="000000" w:themeColor="text1"/>
        </w:rPr>
        <w:t>o procedimento administrativo disciplinar</w:t>
      </w:r>
      <w:r w:rsidRPr="00BC4E44">
        <w:rPr>
          <w:rFonts w:ascii="Times New Roman" w:hAnsi="Times New Roman" w:cs="Times New Roman"/>
          <w:color w:val="000000" w:themeColor="text1"/>
        </w:rPr>
        <w:t>, especialmente a dignidade da pessoa humana, a igualdade de gênero, a vedação à violência institucional e a proteção da integridade física e psicológica de vítimas e testemunhas.</w:t>
      </w:r>
    </w:p>
    <w:p w14:paraId="29BC2839" w14:textId="77777777" w:rsidR="006B5A3B" w:rsidRPr="00BC4E44" w:rsidRDefault="006B5A3B" w:rsidP="00E35F4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BCE9207" w14:textId="2083D382" w:rsidR="006C0934" w:rsidRPr="00BC4E44" w:rsidRDefault="006B5A3B" w:rsidP="00E35F40">
      <w:pPr>
        <w:pStyle w:val="PargrafodaLista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C4E44">
        <w:rPr>
          <w:rFonts w:ascii="Times New Roman" w:hAnsi="Times New Roman" w:cs="Times New Roman"/>
          <w:b/>
          <w:bCs/>
          <w:color w:val="000000" w:themeColor="text1"/>
        </w:rPr>
        <w:t>Diálogo com o artigo 400-A do CPP e a Lei Mariana Ferrer</w:t>
      </w:r>
    </w:p>
    <w:p w14:paraId="6F04F971" w14:textId="1955BD2E" w:rsidR="00B57405" w:rsidRPr="00BC4E44" w:rsidRDefault="00B17BF3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>A Resolução CNJ nº</w:t>
      </w:r>
      <w:r w:rsidR="005C47D0">
        <w:rPr>
          <w:rFonts w:ascii="Times New Roman" w:hAnsi="Times New Roman" w:cs="Times New Roman"/>
          <w:color w:val="000000" w:themeColor="text1"/>
        </w:rPr>
        <w:t>.</w:t>
      </w:r>
      <w:r w:rsidRPr="00BC4E44">
        <w:rPr>
          <w:rFonts w:ascii="Times New Roman" w:hAnsi="Times New Roman" w:cs="Times New Roman"/>
          <w:color w:val="000000" w:themeColor="text1"/>
        </w:rPr>
        <w:t xml:space="preserve"> 680/</w:t>
      </w:r>
      <w:r w:rsidR="008651A6" w:rsidRPr="00BC4E44">
        <w:rPr>
          <w:rFonts w:ascii="Times New Roman" w:hAnsi="Times New Roman" w:cs="Times New Roman"/>
          <w:color w:val="000000" w:themeColor="text1"/>
        </w:rPr>
        <w:t xml:space="preserve">2026 </w:t>
      </w:r>
      <w:r w:rsidR="00C44112" w:rsidRPr="00BC4E44">
        <w:rPr>
          <w:rFonts w:ascii="Times New Roman" w:hAnsi="Times New Roman" w:cs="Times New Roman"/>
          <w:color w:val="000000" w:themeColor="text1"/>
        </w:rPr>
        <w:t xml:space="preserve">prevê </w:t>
      </w:r>
      <w:r w:rsidR="00444896" w:rsidRPr="00BC4E44">
        <w:rPr>
          <w:rFonts w:ascii="Times New Roman" w:hAnsi="Times New Roman" w:cs="Times New Roman"/>
          <w:color w:val="000000" w:themeColor="text1"/>
        </w:rPr>
        <w:t>que, na audiência de instrução e julgamento, e, em especial, na</w:t>
      </w:r>
      <w:r w:rsidR="00663D28" w:rsidRPr="00BC4E44">
        <w:rPr>
          <w:rFonts w:ascii="Times New Roman" w:hAnsi="Times New Roman" w:cs="Times New Roman"/>
          <w:color w:val="000000" w:themeColor="text1"/>
        </w:rPr>
        <w:t>quela</w:t>
      </w:r>
      <w:r w:rsidR="00444896" w:rsidRPr="00BC4E44">
        <w:rPr>
          <w:rFonts w:ascii="Times New Roman" w:hAnsi="Times New Roman" w:cs="Times New Roman"/>
          <w:color w:val="000000" w:themeColor="text1"/>
        </w:rPr>
        <w:t xml:space="preserve">s que apurem crimes contra a dignidade sexual, todas as partes e demais sujeitos processuais presentes no ato deverão zelar pela integridade física e psicológica da vítima, sob pena de responsabilização civil, penal e administrativa, cabendo ao juiz garantir o cumprimento do disposto neste artigo, vedadas: </w:t>
      </w:r>
      <w:r w:rsidR="003A72BD" w:rsidRPr="00BC4E44">
        <w:rPr>
          <w:rFonts w:ascii="Times New Roman" w:hAnsi="Times New Roman" w:cs="Times New Roman"/>
          <w:color w:val="000000" w:themeColor="text1"/>
        </w:rPr>
        <w:t>(i) a manifestação sobre circunstâncias ou elementos alheios aos fatos objeto de apuração nos autos; e</w:t>
      </w:r>
      <w:r w:rsidR="0097554A">
        <w:rPr>
          <w:rFonts w:ascii="Times New Roman" w:hAnsi="Times New Roman" w:cs="Times New Roman"/>
          <w:color w:val="000000" w:themeColor="text1"/>
        </w:rPr>
        <w:t xml:space="preserve"> </w:t>
      </w:r>
      <w:r w:rsidR="003A72BD" w:rsidRPr="00BC4E44">
        <w:rPr>
          <w:rFonts w:ascii="Times New Roman" w:hAnsi="Times New Roman" w:cs="Times New Roman"/>
          <w:color w:val="000000" w:themeColor="text1"/>
        </w:rPr>
        <w:t>(ii) a utilização de linguagem, de informações ou de material que ofendam a dignidade d</w:t>
      </w:r>
      <w:r w:rsidR="00117739" w:rsidRPr="00BC4E44">
        <w:rPr>
          <w:rFonts w:ascii="Times New Roman" w:hAnsi="Times New Roman" w:cs="Times New Roman"/>
          <w:color w:val="000000" w:themeColor="text1"/>
        </w:rPr>
        <w:t>e</w:t>
      </w:r>
      <w:r w:rsidR="003A72BD" w:rsidRPr="00BC4E44">
        <w:rPr>
          <w:rFonts w:ascii="Times New Roman" w:hAnsi="Times New Roman" w:cs="Times New Roman"/>
          <w:color w:val="000000" w:themeColor="text1"/>
        </w:rPr>
        <w:t xml:space="preserve"> vítima</w:t>
      </w:r>
      <w:r w:rsidR="00117739" w:rsidRPr="00BC4E44">
        <w:rPr>
          <w:rFonts w:ascii="Times New Roman" w:hAnsi="Times New Roman" w:cs="Times New Roman"/>
          <w:color w:val="000000" w:themeColor="text1"/>
        </w:rPr>
        <w:t>s</w:t>
      </w:r>
      <w:r w:rsidR="003A72BD" w:rsidRPr="00BC4E44">
        <w:rPr>
          <w:rFonts w:ascii="Times New Roman" w:hAnsi="Times New Roman" w:cs="Times New Roman"/>
          <w:color w:val="000000" w:themeColor="text1"/>
        </w:rPr>
        <w:t xml:space="preserve"> ou de testemunhas.</w:t>
      </w:r>
      <w:r w:rsidR="00663D28" w:rsidRPr="00BC4E44">
        <w:rPr>
          <w:rFonts w:ascii="Times New Roman" w:hAnsi="Times New Roman" w:cs="Times New Roman"/>
          <w:color w:val="000000" w:themeColor="text1"/>
        </w:rPr>
        <w:t xml:space="preserve"> </w:t>
      </w:r>
    </w:p>
    <w:p w14:paraId="32083967" w14:textId="77777777" w:rsidR="00E55D87" w:rsidRPr="00BC4E44" w:rsidRDefault="00E55D87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>Atribui-se a competência para assegurar o cumprimento das disposições à autoridade responsável pela condução do procedimento. Há, ainda, o alerta sobre a possibilidade de responsabilização civil, penal e administrativa para os casos de descumprimento das disposições constantes da Resolução.</w:t>
      </w:r>
    </w:p>
    <w:p w14:paraId="28F49B31" w14:textId="5F123933" w:rsidR="003224A1" w:rsidRPr="00BC4E44" w:rsidRDefault="000D7FED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 xml:space="preserve">Conforme antecipado, </w:t>
      </w:r>
      <w:r w:rsidR="0044382E" w:rsidRPr="00BC4E44">
        <w:rPr>
          <w:rFonts w:ascii="Times New Roman" w:hAnsi="Times New Roman" w:cs="Times New Roman"/>
          <w:color w:val="000000" w:themeColor="text1"/>
        </w:rPr>
        <w:t xml:space="preserve">a norma dialoga diretamente </w:t>
      </w:r>
      <w:r w:rsidR="0010747A" w:rsidRPr="00BC4E44">
        <w:rPr>
          <w:rFonts w:ascii="Times New Roman" w:hAnsi="Times New Roman" w:cs="Times New Roman"/>
          <w:color w:val="000000" w:themeColor="text1"/>
        </w:rPr>
        <w:t xml:space="preserve">com o teor do artigo </w:t>
      </w:r>
      <w:r w:rsidR="00E572D4" w:rsidRPr="00BC4E44">
        <w:rPr>
          <w:rFonts w:ascii="Times New Roman" w:hAnsi="Times New Roman" w:cs="Times New Roman"/>
          <w:color w:val="000000" w:themeColor="text1"/>
        </w:rPr>
        <w:t>400-A</w:t>
      </w:r>
      <w:r w:rsidR="0010747A" w:rsidRPr="00BC4E44">
        <w:rPr>
          <w:rFonts w:ascii="Times New Roman" w:hAnsi="Times New Roman" w:cs="Times New Roman"/>
          <w:color w:val="000000" w:themeColor="text1"/>
        </w:rPr>
        <w:t xml:space="preserve"> do CPP, </w:t>
      </w:r>
      <w:r w:rsidR="00E55D87" w:rsidRPr="00BC4E44">
        <w:rPr>
          <w:rFonts w:ascii="Times New Roman" w:hAnsi="Times New Roman" w:cs="Times New Roman"/>
          <w:color w:val="000000" w:themeColor="text1"/>
        </w:rPr>
        <w:t>que prevê</w:t>
      </w:r>
      <w:r w:rsidR="0044382E" w:rsidRPr="00BC4E44">
        <w:rPr>
          <w:rFonts w:ascii="Times New Roman" w:hAnsi="Times New Roman" w:cs="Times New Roman"/>
          <w:color w:val="000000" w:themeColor="text1"/>
        </w:rPr>
        <w:t>, para</w:t>
      </w:r>
      <w:r w:rsidR="00E55D87" w:rsidRPr="00BC4E44">
        <w:rPr>
          <w:rFonts w:ascii="Times New Roman" w:hAnsi="Times New Roman" w:cs="Times New Roman"/>
          <w:color w:val="000000" w:themeColor="text1"/>
        </w:rPr>
        <w:t xml:space="preserve"> as</w:t>
      </w:r>
      <w:r w:rsidR="0044382E" w:rsidRPr="00BC4E44">
        <w:rPr>
          <w:rFonts w:ascii="Times New Roman" w:hAnsi="Times New Roman" w:cs="Times New Roman"/>
          <w:color w:val="000000" w:themeColor="text1"/>
        </w:rPr>
        <w:t xml:space="preserve"> audiências de instrução e julgamento, em especial </w:t>
      </w:r>
      <w:r w:rsidR="00E55D87" w:rsidRPr="00BC4E44">
        <w:rPr>
          <w:rFonts w:ascii="Times New Roman" w:hAnsi="Times New Roman" w:cs="Times New Roman"/>
          <w:color w:val="000000" w:themeColor="text1"/>
        </w:rPr>
        <w:t xml:space="preserve">que apurem crimes contra a dignidade sexual, que todas as partes e demais sujeitos processuais presentes no ato </w:t>
      </w:r>
      <w:r w:rsidR="005151BC" w:rsidRPr="00BC4E44">
        <w:rPr>
          <w:rFonts w:ascii="Times New Roman" w:hAnsi="Times New Roman" w:cs="Times New Roman"/>
          <w:color w:val="000000" w:themeColor="text1"/>
        </w:rPr>
        <w:t>zelem</w:t>
      </w:r>
      <w:r w:rsidR="00E55D87" w:rsidRPr="00BC4E44">
        <w:rPr>
          <w:rFonts w:ascii="Times New Roman" w:hAnsi="Times New Roman" w:cs="Times New Roman"/>
          <w:color w:val="000000" w:themeColor="text1"/>
        </w:rPr>
        <w:t xml:space="preserve"> pela integridade física e psicológica da vítima, sob pena de responsabilização civil, penal e administrativa.</w:t>
      </w:r>
      <w:r w:rsidR="005151BC" w:rsidRPr="00BC4E44">
        <w:rPr>
          <w:rFonts w:ascii="Times New Roman" w:hAnsi="Times New Roman" w:cs="Times New Roman"/>
          <w:color w:val="000000" w:themeColor="text1"/>
        </w:rPr>
        <w:t xml:space="preserve"> </w:t>
      </w:r>
      <w:r w:rsidR="002002A5" w:rsidRPr="00BC4E44">
        <w:rPr>
          <w:rFonts w:ascii="Times New Roman" w:hAnsi="Times New Roman" w:cs="Times New Roman"/>
          <w:color w:val="000000" w:themeColor="text1"/>
        </w:rPr>
        <w:t xml:space="preserve">Veda-se a manifestação sobre circunstâncias ou elementos alheios aos fatos objeto de apuração nos autos, bem como a </w:t>
      </w:r>
      <w:r w:rsidR="00A36AC4" w:rsidRPr="00BC4E44">
        <w:rPr>
          <w:rFonts w:ascii="Times New Roman" w:hAnsi="Times New Roman" w:cs="Times New Roman"/>
          <w:color w:val="000000" w:themeColor="text1"/>
        </w:rPr>
        <w:t>utilização de linguagem, de informações ou de material que ofendam a dignidade da vítima ou de testemunhas.</w:t>
      </w:r>
      <w:r w:rsidR="0097554A">
        <w:rPr>
          <w:rFonts w:ascii="Times New Roman" w:hAnsi="Times New Roman" w:cs="Times New Roman"/>
          <w:color w:val="000000" w:themeColor="text1"/>
        </w:rPr>
        <w:t xml:space="preserve"> </w:t>
      </w:r>
      <w:r w:rsidR="00A36AC4" w:rsidRPr="00BC4E44">
        <w:rPr>
          <w:rFonts w:ascii="Times New Roman" w:hAnsi="Times New Roman" w:cs="Times New Roman"/>
          <w:color w:val="000000" w:themeColor="text1"/>
        </w:rPr>
        <w:t>Além disso, c</w:t>
      </w:r>
      <w:r w:rsidR="00E55D87" w:rsidRPr="00BC4E44">
        <w:rPr>
          <w:rFonts w:ascii="Times New Roman" w:hAnsi="Times New Roman" w:cs="Times New Roman"/>
          <w:color w:val="000000" w:themeColor="text1"/>
        </w:rPr>
        <w:t>abe ao juiz garantir o cumprimento da disposição.</w:t>
      </w:r>
    </w:p>
    <w:p w14:paraId="63A17E67" w14:textId="23004482" w:rsidR="00AC2666" w:rsidRPr="00BC4E44" w:rsidRDefault="00AC2666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40A753A9">
        <w:rPr>
          <w:rFonts w:ascii="Times New Roman" w:hAnsi="Times New Roman" w:cs="Times New Roman"/>
          <w:color w:val="000000" w:themeColor="text1"/>
        </w:rPr>
        <w:t>Dessa forma, a Resolução CNJ n</w:t>
      </w:r>
      <w:r w:rsidR="00F83046" w:rsidRPr="40A753A9">
        <w:rPr>
          <w:rFonts w:ascii="Times New Roman" w:hAnsi="Times New Roman" w:cs="Times New Roman"/>
          <w:color w:val="000000" w:themeColor="text1"/>
        </w:rPr>
        <w:t>.</w:t>
      </w:r>
      <w:r w:rsidRPr="40A753A9">
        <w:rPr>
          <w:rFonts w:ascii="Times New Roman" w:hAnsi="Times New Roman" w:cs="Times New Roman"/>
          <w:color w:val="000000" w:themeColor="text1"/>
        </w:rPr>
        <w:t>º 680/2026 reproduz</w:t>
      </w:r>
      <w:r w:rsidR="00F83046" w:rsidRPr="40A753A9">
        <w:rPr>
          <w:rFonts w:ascii="Times New Roman" w:hAnsi="Times New Roman" w:cs="Times New Roman"/>
          <w:color w:val="000000" w:themeColor="text1"/>
        </w:rPr>
        <w:t xml:space="preserve"> </w:t>
      </w:r>
      <w:r w:rsidRPr="40A753A9">
        <w:rPr>
          <w:rFonts w:ascii="Times New Roman" w:hAnsi="Times New Roman" w:cs="Times New Roman"/>
          <w:color w:val="000000" w:themeColor="text1"/>
        </w:rPr>
        <w:t>a lógica protetiva consagrada pelo art</w:t>
      </w:r>
      <w:r w:rsidR="00F83046" w:rsidRPr="40A753A9">
        <w:rPr>
          <w:rFonts w:ascii="Times New Roman" w:hAnsi="Times New Roman" w:cs="Times New Roman"/>
          <w:color w:val="000000" w:themeColor="text1"/>
        </w:rPr>
        <w:t>igo</w:t>
      </w:r>
      <w:r w:rsidRPr="40A753A9">
        <w:rPr>
          <w:rFonts w:ascii="Times New Roman" w:hAnsi="Times New Roman" w:cs="Times New Roman"/>
          <w:color w:val="000000" w:themeColor="text1"/>
        </w:rPr>
        <w:t xml:space="preserve"> 400-A do </w:t>
      </w:r>
      <w:r w:rsidR="00F83046" w:rsidRPr="40A753A9">
        <w:rPr>
          <w:rFonts w:ascii="Times New Roman" w:hAnsi="Times New Roman" w:cs="Times New Roman"/>
          <w:color w:val="000000" w:themeColor="text1"/>
        </w:rPr>
        <w:t>CPP</w:t>
      </w:r>
      <w:r w:rsidRPr="40A753A9">
        <w:rPr>
          <w:rFonts w:ascii="Times New Roman" w:hAnsi="Times New Roman" w:cs="Times New Roman"/>
          <w:color w:val="000000" w:themeColor="text1"/>
        </w:rPr>
        <w:t xml:space="preserve">, </w:t>
      </w:r>
      <w:r w:rsidR="00F83046" w:rsidRPr="40A753A9">
        <w:rPr>
          <w:rFonts w:ascii="Times New Roman" w:hAnsi="Times New Roman" w:cs="Times New Roman"/>
          <w:color w:val="000000" w:themeColor="text1"/>
        </w:rPr>
        <w:t>ao tempo em que</w:t>
      </w:r>
      <w:r w:rsidRPr="40A753A9">
        <w:rPr>
          <w:rFonts w:ascii="Times New Roman" w:hAnsi="Times New Roman" w:cs="Times New Roman"/>
          <w:color w:val="000000" w:themeColor="text1"/>
        </w:rPr>
        <w:t xml:space="preserve"> adapta</w:t>
      </w:r>
      <w:r w:rsidR="5CEC5202" w:rsidRPr="40A753A9">
        <w:rPr>
          <w:rFonts w:ascii="Times New Roman" w:hAnsi="Times New Roman" w:cs="Times New Roman"/>
          <w:color w:val="000000" w:themeColor="text1"/>
        </w:rPr>
        <w:t xml:space="preserve"> tal proteção</w:t>
      </w:r>
      <w:r w:rsidRPr="40A753A9">
        <w:rPr>
          <w:rFonts w:ascii="Times New Roman" w:hAnsi="Times New Roman" w:cs="Times New Roman"/>
          <w:color w:val="000000" w:themeColor="text1"/>
        </w:rPr>
        <w:t xml:space="preserve"> às especificidades dos procedimentos disciplinares instaurados no Poder Judiciário. Ao atribuir à autoridade responsável pela condução do procedimento o dever de assegurar a integridade física e psicológica de vítimas e testemunhas, a norma reafirma que a proteção contra práticas revitimizantes não se limita ao processo penal, devendo orientar todos os espaços formais de apuração institucional.</w:t>
      </w:r>
    </w:p>
    <w:p w14:paraId="507899B5" w14:textId="222EC283" w:rsidR="00EE23F0" w:rsidRPr="00BC4E44" w:rsidRDefault="00F83046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>É de considerar, ainda, que</w:t>
      </w:r>
      <w:r w:rsidR="00A24EA5" w:rsidRPr="00BC4E44">
        <w:rPr>
          <w:rFonts w:ascii="Times New Roman" w:hAnsi="Times New Roman" w:cs="Times New Roman"/>
          <w:color w:val="000000" w:themeColor="text1"/>
        </w:rPr>
        <w:t xml:space="preserve"> </w:t>
      </w:r>
      <w:r w:rsidRPr="00BC4E44">
        <w:rPr>
          <w:rFonts w:ascii="Times New Roman" w:hAnsi="Times New Roman" w:cs="Times New Roman"/>
          <w:color w:val="000000" w:themeColor="text1"/>
        </w:rPr>
        <w:t>o artigo 400-A</w:t>
      </w:r>
      <w:r w:rsidR="00A24EA5" w:rsidRPr="00BC4E44">
        <w:rPr>
          <w:rFonts w:ascii="Times New Roman" w:hAnsi="Times New Roman" w:cs="Times New Roman"/>
          <w:color w:val="000000" w:themeColor="text1"/>
        </w:rPr>
        <w:t xml:space="preserve"> foi introduzid</w:t>
      </w:r>
      <w:r w:rsidR="5843F383" w:rsidRPr="40A753A9">
        <w:rPr>
          <w:rFonts w:ascii="Times New Roman" w:hAnsi="Times New Roman" w:cs="Times New Roman"/>
          <w:color w:val="000000" w:themeColor="text1"/>
        </w:rPr>
        <w:t>o</w:t>
      </w:r>
      <w:r w:rsidR="00A24EA5" w:rsidRPr="40A753A9">
        <w:rPr>
          <w:rFonts w:ascii="Times New Roman" w:hAnsi="Times New Roman" w:cs="Times New Roman"/>
          <w:color w:val="000000" w:themeColor="text1"/>
        </w:rPr>
        <w:t xml:space="preserve"> ao </w:t>
      </w:r>
      <w:r w:rsidR="00E75D86" w:rsidRPr="40A753A9">
        <w:rPr>
          <w:rFonts w:ascii="Times New Roman" w:hAnsi="Times New Roman" w:cs="Times New Roman"/>
          <w:color w:val="000000" w:themeColor="text1"/>
        </w:rPr>
        <w:t>CPP</w:t>
      </w:r>
      <w:r w:rsidR="00A24EA5" w:rsidRPr="40A753A9">
        <w:rPr>
          <w:rFonts w:ascii="Times New Roman" w:hAnsi="Times New Roman" w:cs="Times New Roman"/>
          <w:color w:val="000000" w:themeColor="text1"/>
        </w:rPr>
        <w:t xml:space="preserve"> pela</w:t>
      </w:r>
      <w:r w:rsidR="000B5AD7" w:rsidRPr="40A753A9">
        <w:rPr>
          <w:rFonts w:ascii="Times New Roman" w:hAnsi="Times New Roman" w:cs="Times New Roman"/>
          <w:color w:val="000000" w:themeColor="text1"/>
        </w:rPr>
        <w:t xml:space="preserve"> Lei </w:t>
      </w:r>
      <w:r w:rsidR="00CD670D" w:rsidRPr="40A753A9">
        <w:rPr>
          <w:rFonts w:ascii="Times New Roman" w:hAnsi="Times New Roman" w:cs="Times New Roman"/>
          <w:color w:val="000000" w:themeColor="text1"/>
        </w:rPr>
        <w:t>nº</w:t>
      </w:r>
      <w:r w:rsidR="00DD3C7C">
        <w:rPr>
          <w:rFonts w:ascii="Times New Roman" w:hAnsi="Times New Roman" w:cs="Times New Roman"/>
          <w:color w:val="000000" w:themeColor="text1"/>
        </w:rPr>
        <w:t>.</w:t>
      </w:r>
      <w:r w:rsidR="00CD670D" w:rsidRPr="40A753A9">
        <w:rPr>
          <w:rFonts w:ascii="Times New Roman" w:hAnsi="Times New Roman" w:cs="Times New Roman"/>
          <w:color w:val="000000" w:themeColor="text1"/>
        </w:rPr>
        <w:t xml:space="preserve"> 1</w:t>
      </w:r>
      <w:r w:rsidR="00CE3BCF" w:rsidRPr="40A753A9">
        <w:rPr>
          <w:rFonts w:ascii="Times New Roman" w:hAnsi="Times New Roman" w:cs="Times New Roman"/>
          <w:color w:val="000000" w:themeColor="text1"/>
        </w:rPr>
        <w:t>4</w:t>
      </w:r>
      <w:r w:rsidR="00CD670D" w:rsidRPr="40A753A9">
        <w:rPr>
          <w:rFonts w:ascii="Times New Roman" w:hAnsi="Times New Roman" w:cs="Times New Roman"/>
          <w:color w:val="000000" w:themeColor="text1"/>
        </w:rPr>
        <w:t>.245/2021</w:t>
      </w:r>
      <w:r w:rsidRPr="40A753A9">
        <w:rPr>
          <w:rStyle w:val="Refdenotaderodap"/>
          <w:rFonts w:ascii="Times New Roman" w:hAnsi="Times New Roman" w:cs="Times New Roman"/>
          <w:color w:val="000000" w:themeColor="text1"/>
        </w:rPr>
        <w:footnoteReference w:id="18"/>
      </w:r>
      <w:r w:rsidR="00CD670D" w:rsidRPr="40A753A9">
        <w:rPr>
          <w:rFonts w:ascii="Times New Roman" w:hAnsi="Times New Roman" w:cs="Times New Roman"/>
          <w:color w:val="000000" w:themeColor="text1"/>
        </w:rPr>
        <w:t xml:space="preserve"> (popularmente conhecida como </w:t>
      </w:r>
      <w:r w:rsidR="00936F0F" w:rsidRPr="40A753A9">
        <w:rPr>
          <w:rFonts w:ascii="Times New Roman" w:hAnsi="Times New Roman" w:cs="Times New Roman"/>
          <w:color w:val="000000" w:themeColor="text1"/>
        </w:rPr>
        <w:t>“</w:t>
      </w:r>
      <w:r w:rsidR="00CD670D" w:rsidRPr="40A753A9">
        <w:rPr>
          <w:rFonts w:ascii="Times New Roman" w:hAnsi="Times New Roman" w:cs="Times New Roman"/>
          <w:color w:val="000000" w:themeColor="text1"/>
        </w:rPr>
        <w:t xml:space="preserve">Lei </w:t>
      </w:r>
      <w:r w:rsidR="000B5AD7" w:rsidRPr="40A753A9">
        <w:rPr>
          <w:rFonts w:ascii="Times New Roman" w:hAnsi="Times New Roman" w:cs="Times New Roman"/>
          <w:color w:val="000000" w:themeColor="text1"/>
        </w:rPr>
        <w:t>Mariana Ferrer</w:t>
      </w:r>
      <w:r w:rsidR="00936F0F" w:rsidRPr="40A753A9">
        <w:rPr>
          <w:rFonts w:ascii="Times New Roman" w:hAnsi="Times New Roman" w:cs="Times New Roman"/>
          <w:color w:val="000000" w:themeColor="text1"/>
        </w:rPr>
        <w:t>”</w:t>
      </w:r>
      <w:r w:rsidR="00CD670D" w:rsidRPr="40A753A9">
        <w:rPr>
          <w:rFonts w:ascii="Times New Roman" w:hAnsi="Times New Roman" w:cs="Times New Roman"/>
          <w:color w:val="000000" w:themeColor="text1"/>
        </w:rPr>
        <w:t>)</w:t>
      </w:r>
      <w:r w:rsidRPr="40A753A9">
        <w:rPr>
          <w:rFonts w:ascii="Times New Roman" w:hAnsi="Times New Roman" w:cs="Times New Roman"/>
          <w:color w:val="000000" w:themeColor="text1"/>
        </w:rPr>
        <w:t xml:space="preserve">, que </w:t>
      </w:r>
      <w:r w:rsidR="00792316" w:rsidRPr="40A753A9">
        <w:rPr>
          <w:rFonts w:ascii="Times New Roman" w:hAnsi="Times New Roman" w:cs="Times New Roman"/>
          <w:color w:val="000000" w:themeColor="text1"/>
        </w:rPr>
        <w:t>ocupa posição relevante no fortalecimento da proteção normativa contra práticas de revitimização e pode ser compreendida como um núcleo mínimo de garantias procedimentais asseguradas à vítima nos crimes contra a dignidade e a liberdade sexual. Ao fixar parâmetros éticos e jurídicos para a condução dos atos processuais, especialmente da audiência, a chamada Lei Mariana Ferrer contribuiu para redefinir a compreensão institucional acerca da posição da vítima no processo penal contemporâneo.</w:t>
      </w:r>
      <w:r w:rsidRPr="40A753A9">
        <w:rPr>
          <w:rStyle w:val="Refdenotaderodap"/>
          <w:rFonts w:ascii="Times New Roman" w:hAnsi="Times New Roman" w:cs="Times New Roman"/>
          <w:color w:val="000000" w:themeColor="text1"/>
        </w:rPr>
        <w:footnoteReference w:id="19"/>
      </w:r>
    </w:p>
    <w:p w14:paraId="7DA75BED" w14:textId="5CE96A82" w:rsidR="00D11812" w:rsidRPr="00BC4E44" w:rsidRDefault="00BC4E44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A</w:t>
      </w:r>
      <w:r w:rsidRPr="00BC4E44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Lei Mariana Ferrer</w:t>
      </w:r>
      <w:r w:rsidRPr="00BC4E44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e a Resolução CNJ nº</w:t>
      </w:r>
      <w:r w:rsidR="00DD3C7C"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680/2026 </w:t>
      </w:r>
      <w:r w:rsidRPr="00BC4E44">
        <w:rPr>
          <w:rFonts w:ascii="Times New Roman" w:hAnsi="Times New Roman" w:cs="Times New Roman"/>
          <w:color w:val="000000" w:themeColor="text1"/>
        </w:rPr>
        <w:t>evidencia</w:t>
      </w:r>
      <w:r>
        <w:rPr>
          <w:rFonts w:ascii="Times New Roman" w:hAnsi="Times New Roman" w:cs="Times New Roman"/>
          <w:color w:val="000000" w:themeColor="text1"/>
        </w:rPr>
        <w:t>m</w:t>
      </w:r>
      <w:r w:rsidRPr="00BC4E44">
        <w:rPr>
          <w:rFonts w:ascii="Times New Roman" w:hAnsi="Times New Roman" w:cs="Times New Roman"/>
          <w:color w:val="000000" w:themeColor="text1"/>
        </w:rPr>
        <w:t xml:space="preserve"> que o ordenamento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97554A" w:rsidRPr="00BC4E44">
        <w:rPr>
          <w:rFonts w:ascii="Times New Roman" w:hAnsi="Times New Roman" w:cs="Times New Roman"/>
          <w:color w:val="000000" w:themeColor="text1"/>
        </w:rPr>
        <w:t xml:space="preserve">jurídico </w:t>
      </w:r>
      <w:r>
        <w:rPr>
          <w:rFonts w:ascii="Times New Roman" w:hAnsi="Times New Roman" w:cs="Times New Roman"/>
          <w:color w:val="000000" w:themeColor="text1"/>
        </w:rPr>
        <w:t>brasileiro</w:t>
      </w:r>
      <w:r w:rsidRPr="00BC4E44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assume</w:t>
      </w:r>
      <w:r w:rsidRPr="00BC4E44">
        <w:rPr>
          <w:rFonts w:ascii="Times New Roman" w:hAnsi="Times New Roman" w:cs="Times New Roman"/>
          <w:color w:val="000000" w:themeColor="text1"/>
        </w:rPr>
        <w:t xml:space="preserve"> a vulnerabilidade estrutural das vítimas de crimes sexuais no curso da instrução</w:t>
      </w:r>
      <w:r>
        <w:rPr>
          <w:rFonts w:ascii="Times New Roman" w:hAnsi="Times New Roman" w:cs="Times New Roman"/>
          <w:color w:val="000000" w:themeColor="text1"/>
        </w:rPr>
        <w:t>, seja processual, seja procedimental, e busca assegurar qu</w:t>
      </w:r>
      <w:r w:rsidR="00156CF5">
        <w:rPr>
          <w:rFonts w:ascii="Times New Roman" w:hAnsi="Times New Roman" w:cs="Times New Roman"/>
          <w:color w:val="000000" w:themeColor="text1"/>
        </w:rPr>
        <w:t xml:space="preserve">e esses instrumentos sejam </w:t>
      </w:r>
      <w:r w:rsidRPr="00BC4E44">
        <w:rPr>
          <w:rFonts w:ascii="Times New Roman" w:hAnsi="Times New Roman" w:cs="Times New Roman"/>
          <w:color w:val="000000" w:themeColor="text1"/>
        </w:rPr>
        <w:t>conduzid</w:t>
      </w:r>
      <w:r w:rsidR="00156CF5">
        <w:rPr>
          <w:rFonts w:ascii="Times New Roman" w:hAnsi="Times New Roman" w:cs="Times New Roman"/>
          <w:color w:val="000000" w:themeColor="text1"/>
        </w:rPr>
        <w:t xml:space="preserve">os </w:t>
      </w:r>
      <w:r w:rsidRPr="00BC4E44">
        <w:rPr>
          <w:rFonts w:ascii="Times New Roman" w:hAnsi="Times New Roman" w:cs="Times New Roman"/>
          <w:color w:val="000000" w:themeColor="text1"/>
        </w:rPr>
        <w:t>adequad</w:t>
      </w:r>
      <w:r w:rsidR="00156CF5">
        <w:rPr>
          <w:rFonts w:ascii="Times New Roman" w:hAnsi="Times New Roman" w:cs="Times New Roman"/>
          <w:color w:val="000000" w:themeColor="text1"/>
        </w:rPr>
        <w:t xml:space="preserve">amente, conferindo </w:t>
      </w:r>
      <w:r w:rsidRPr="00BC4E44">
        <w:rPr>
          <w:rFonts w:ascii="Times New Roman" w:hAnsi="Times New Roman" w:cs="Times New Roman"/>
          <w:color w:val="000000" w:themeColor="text1"/>
        </w:rPr>
        <w:t>proteçã</w:t>
      </w:r>
      <w:r w:rsidR="00156CF5">
        <w:rPr>
          <w:rFonts w:ascii="Times New Roman" w:hAnsi="Times New Roman" w:cs="Times New Roman"/>
          <w:color w:val="000000" w:themeColor="text1"/>
        </w:rPr>
        <w:t>o às vítimas e testemunhas e evitando a</w:t>
      </w:r>
      <w:r w:rsidRPr="00BC4E44">
        <w:rPr>
          <w:rFonts w:ascii="Times New Roman" w:hAnsi="Times New Roman" w:cs="Times New Roman"/>
          <w:color w:val="000000" w:themeColor="text1"/>
        </w:rPr>
        <w:t xml:space="preserve"> reprodu</w:t>
      </w:r>
      <w:r w:rsidR="00156CF5">
        <w:rPr>
          <w:rFonts w:ascii="Times New Roman" w:hAnsi="Times New Roman" w:cs="Times New Roman"/>
          <w:color w:val="000000" w:themeColor="text1"/>
        </w:rPr>
        <w:t xml:space="preserve">ção de </w:t>
      </w:r>
      <w:r w:rsidRPr="00BC4E44">
        <w:rPr>
          <w:rFonts w:ascii="Times New Roman" w:hAnsi="Times New Roman" w:cs="Times New Roman"/>
          <w:color w:val="000000" w:themeColor="text1"/>
        </w:rPr>
        <w:t>violências de intensidade semelhante às experimentadas no próprio fato</w:t>
      </w:r>
      <w:r w:rsidR="00156CF5">
        <w:rPr>
          <w:rFonts w:ascii="Times New Roman" w:hAnsi="Times New Roman" w:cs="Times New Roman"/>
          <w:color w:val="000000" w:themeColor="text1"/>
        </w:rPr>
        <w:t xml:space="preserve"> objeto de apuração</w:t>
      </w:r>
      <w:r w:rsidRPr="00BC4E44">
        <w:rPr>
          <w:rFonts w:ascii="Times New Roman" w:hAnsi="Times New Roman" w:cs="Times New Roman"/>
          <w:color w:val="000000" w:themeColor="text1"/>
        </w:rPr>
        <w:t>.</w:t>
      </w:r>
    </w:p>
    <w:p w14:paraId="2D041652" w14:textId="77777777" w:rsidR="0057440C" w:rsidRPr="00BC4E44" w:rsidRDefault="0057440C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14:paraId="51E4F08E" w14:textId="1DB6AB3D" w:rsidR="0057440C" w:rsidRPr="00BC4E44" w:rsidRDefault="00AE3768" w:rsidP="00E35F40">
      <w:pPr>
        <w:pStyle w:val="PargrafodaLista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C4E44">
        <w:rPr>
          <w:rFonts w:ascii="Times New Roman" w:hAnsi="Times New Roman" w:cs="Times New Roman"/>
          <w:b/>
          <w:bCs/>
          <w:color w:val="000000" w:themeColor="text1"/>
        </w:rPr>
        <w:t>Relevância institucional e dados sobre assédio no Poder Judiciário</w:t>
      </w:r>
    </w:p>
    <w:p w14:paraId="0C0A781E" w14:textId="77777777" w:rsidR="00273225" w:rsidRPr="00BC4E44" w:rsidRDefault="005061EC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 xml:space="preserve">A relevância do tema é demonstrada pelos próprios dados institucionais. </w:t>
      </w:r>
    </w:p>
    <w:p w14:paraId="1811B663" w14:textId="27C43B2A" w:rsidR="00B6106D" w:rsidRPr="00BC4E44" w:rsidRDefault="005061EC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>De acordo com a 2ª Pesquisa Nacional sobre Assédio e discriminação no âmbito do Poder Judiciário</w:t>
      </w:r>
      <w:r w:rsidR="001626B2" w:rsidRPr="00BC4E44">
        <w:rPr>
          <w:rStyle w:val="Refdenotaderodap"/>
          <w:rFonts w:ascii="Times New Roman" w:hAnsi="Times New Roman" w:cs="Times New Roman"/>
          <w:color w:val="000000" w:themeColor="text1"/>
        </w:rPr>
        <w:footnoteReference w:id="20"/>
      </w:r>
      <w:r w:rsidRPr="00BC4E44">
        <w:rPr>
          <w:rFonts w:ascii="Times New Roman" w:hAnsi="Times New Roman" w:cs="Times New Roman"/>
          <w:color w:val="000000" w:themeColor="text1"/>
        </w:rPr>
        <w:t xml:space="preserve">, </w:t>
      </w:r>
      <w:r w:rsidR="0040188C" w:rsidRPr="00BC4E44">
        <w:rPr>
          <w:rFonts w:ascii="Times New Roman" w:hAnsi="Times New Roman" w:cs="Times New Roman"/>
          <w:color w:val="000000" w:themeColor="text1"/>
        </w:rPr>
        <w:t xml:space="preserve">publicada no ano de 2023, </w:t>
      </w:r>
      <w:r w:rsidR="00A8076D" w:rsidRPr="00BC4E44">
        <w:rPr>
          <w:rFonts w:ascii="Times New Roman" w:hAnsi="Times New Roman" w:cs="Times New Roman"/>
          <w:color w:val="000000" w:themeColor="text1"/>
        </w:rPr>
        <w:t>com a participação de</w:t>
      </w:r>
      <w:r w:rsidR="007F35BF" w:rsidRPr="00BC4E44">
        <w:rPr>
          <w:rFonts w:ascii="Times New Roman" w:hAnsi="Times New Roman" w:cs="Times New Roman"/>
          <w:color w:val="000000" w:themeColor="text1"/>
        </w:rPr>
        <w:t xml:space="preserve"> </w:t>
      </w:r>
      <w:r w:rsidR="009B5E32" w:rsidRPr="00BC4E44">
        <w:rPr>
          <w:rFonts w:ascii="Times New Roman" w:hAnsi="Times New Roman" w:cs="Times New Roman"/>
          <w:color w:val="000000" w:themeColor="text1"/>
        </w:rPr>
        <w:t xml:space="preserve">13.772 </w:t>
      </w:r>
      <w:r w:rsidR="00A8076D" w:rsidRPr="00BC4E44">
        <w:rPr>
          <w:rFonts w:ascii="Times New Roman" w:hAnsi="Times New Roman" w:cs="Times New Roman"/>
          <w:color w:val="000000" w:themeColor="text1"/>
        </w:rPr>
        <w:t>respondentes</w:t>
      </w:r>
      <w:r w:rsidR="009B5E32" w:rsidRPr="00BC4E44">
        <w:rPr>
          <w:rFonts w:ascii="Times New Roman" w:hAnsi="Times New Roman" w:cs="Times New Roman"/>
          <w:color w:val="000000" w:themeColor="text1"/>
        </w:rPr>
        <w:t xml:space="preserve">, entre </w:t>
      </w:r>
      <w:r w:rsidR="007F35BF" w:rsidRPr="00BC4E44">
        <w:rPr>
          <w:rFonts w:ascii="Times New Roman" w:hAnsi="Times New Roman" w:cs="Times New Roman"/>
          <w:color w:val="000000" w:themeColor="text1"/>
        </w:rPr>
        <w:t xml:space="preserve">servidores e servidoras, magistrados e magistradas, </w:t>
      </w:r>
      <w:r w:rsidR="002D36B2" w:rsidRPr="00BC4E44">
        <w:rPr>
          <w:rFonts w:ascii="Times New Roman" w:hAnsi="Times New Roman" w:cs="Times New Roman"/>
          <w:color w:val="000000" w:themeColor="text1"/>
        </w:rPr>
        <w:t>colaboradores auxiliares e outras</w:t>
      </w:r>
      <w:r w:rsidR="001626B2" w:rsidRPr="00BC4E44">
        <w:rPr>
          <w:rFonts w:ascii="Times New Roman" w:hAnsi="Times New Roman" w:cs="Times New Roman"/>
          <w:color w:val="000000" w:themeColor="text1"/>
        </w:rPr>
        <w:t>,</w:t>
      </w:r>
      <w:r w:rsidR="0070049D" w:rsidRPr="00BC4E44">
        <w:rPr>
          <w:rFonts w:ascii="Times New Roman" w:hAnsi="Times New Roman" w:cs="Times New Roman"/>
          <w:color w:val="000000" w:themeColor="text1"/>
        </w:rPr>
        <w:t xml:space="preserve"> há 56,4% de pessoas que afirmaram já terem sofrido algum assédio ou alguma forma de discriminação. </w:t>
      </w:r>
    </w:p>
    <w:p w14:paraId="27565171" w14:textId="01A7F2F1" w:rsidR="00E95617" w:rsidRPr="00BC4E44" w:rsidRDefault="00E95617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>O objetivo da mencionada pesquisa foi o levantamento de dados relativos ao cumprimento da Resolução CNJ nº</w:t>
      </w:r>
      <w:r w:rsidR="00DD3C7C">
        <w:rPr>
          <w:rFonts w:ascii="Times New Roman" w:hAnsi="Times New Roman" w:cs="Times New Roman"/>
          <w:color w:val="000000" w:themeColor="text1"/>
        </w:rPr>
        <w:t>.</w:t>
      </w:r>
      <w:r w:rsidRPr="00BC4E44">
        <w:rPr>
          <w:rFonts w:ascii="Times New Roman" w:hAnsi="Times New Roman" w:cs="Times New Roman"/>
          <w:color w:val="000000" w:themeColor="text1"/>
        </w:rPr>
        <w:t xml:space="preserve"> 351/2020</w:t>
      </w:r>
      <w:r w:rsidR="00532D98" w:rsidRPr="00BC4E44">
        <w:rPr>
          <w:rStyle w:val="Refdenotaderodap"/>
          <w:rFonts w:ascii="Times New Roman" w:hAnsi="Times New Roman" w:cs="Times New Roman"/>
          <w:color w:val="000000" w:themeColor="text1"/>
        </w:rPr>
        <w:footnoteReference w:id="21"/>
      </w:r>
      <w:r w:rsidRPr="00BC4E44">
        <w:rPr>
          <w:rFonts w:ascii="Times New Roman" w:hAnsi="Times New Roman" w:cs="Times New Roman"/>
          <w:color w:val="000000" w:themeColor="text1"/>
        </w:rPr>
        <w:t xml:space="preserve">, que instituiu, no âmbito do Poder Judiciário, a Política de Prevenção e Enfrentamento do Assédio Moral, do Assédio Sexual e da Discriminação. </w:t>
      </w:r>
      <w:r w:rsidR="00E90A6A" w:rsidRPr="00BC4E44">
        <w:rPr>
          <w:rFonts w:ascii="Times New Roman" w:hAnsi="Times New Roman" w:cs="Times New Roman"/>
          <w:color w:val="000000" w:themeColor="text1"/>
        </w:rPr>
        <w:t>A partir do reconhecimento de que</w:t>
      </w:r>
      <w:r w:rsidR="008831A3" w:rsidRPr="008831A3">
        <w:rPr>
          <w:rFonts w:ascii="Times New Roman" w:hAnsi="Times New Roman" w:cs="Times New Roman"/>
          <w:color w:val="000000" w:themeColor="text1"/>
        </w:rPr>
        <w:t xml:space="preserve"> </w:t>
      </w:r>
      <w:r w:rsidR="008831A3" w:rsidRPr="00BC4E44">
        <w:rPr>
          <w:rFonts w:ascii="Times New Roman" w:hAnsi="Times New Roman" w:cs="Times New Roman"/>
          <w:color w:val="000000" w:themeColor="text1"/>
        </w:rPr>
        <w:t>o Poder Judiciário deve voltar os seus olhares à estrutura interna</w:t>
      </w:r>
      <w:r w:rsidR="00E90A6A" w:rsidRPr="00BC4E44">
        <w:rPr>
          <w:rFonts w:ascii="Times New Roman" w:hAnsi="Times New Roman" w:cs="Times New Roman"/>
          <w:color w:val="000000" w:themeColor="text1"/>
        </w:rPr>
        <w:t xml:space="preserve">, somada à atuação </w:t>
      </w:r>
      <w:r w:rsidR="00BC4577" w:rsidRPr="00BC4E44">
        <w:rPr>
          <w:rFonts w:ascii="Times New Roman" w:hAnsi="Times New Roman" w:cs="Times New Roman"/>
          <w:color w:val="000000" w:themeColor="text1"/>
        </w:rPr>
        <w:t xml:space="preserve">no resgate dos </w:t>
      </w:r>
      <w:r w:rsidR="00302A70" w:rsidRPr="00BC4E44">
        <w:rPr>
          <w:rFonts w:ascii="Times New Roman" w:hAnsi="Times New Roman" w:cs="Times New Roman"/>
          <w:color w:val="000000" w:themeColor="text1"/>
        </w:rPr>
        <w:t>ideais</w:t>
      </w:r>
      <w:r w:rsidR="00BC4577" w:rsidRPr="00BC4E44">
        <w:rPr>
          <w:rFonts w:ascii="Times New Roman" w:hAnsi="Times New Roman" w:cs="Times New Roman"/>
          <w:color w:val="000000" w:themeColor="text1"/>
        </w:rPr>
        <w:t xml:space="preserve"> de justiça na esfera externa,</w:t>
      </w:r>
      <w:r w:rsidR="00E90A6A" w:rsidRPr="00BC4E44">
        <w:rPr>
          <w:rFonts w:ascii="Times New Roman" w:hAnsi="Times New Roman" w:cs="Times New Roman"/>
          <w:color w:val="000000" w:themeColor="text1"/>
        </w:rPr>
        <w:t xml:space="preserve"> </w:t>
      </w:r>
      <w:r w:rsidR="00061B29" w:rsidRPr="00BC4E44">
        <w:rPr>
          <w:rFonts w:ascii="Times New Roman" w:hAnsi="Times New Roman" w:cs="Times New Roman"/>
          <w:color w:val="000000" w:themeColor="text1"/>
        </w:rPr>
        <w:t>a Política foi construída a fim de enfrentar e prevenir o assédio moral e sexual no âmbito institucional.</w:t>
      </w:r>
    </w:p>
    <w:p w14:paraId="11881BF3" w14:textId="0CA1416B" w:rsidR="00944815" w:rsidRPr="00BC4E44" w:rsidRDefault="00302A70" w:rsidP="00E35F4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BC4E44">
        <w:rPr>
          <w:rFonts w:ascii="Times New Roman" w:hAnsi="Times New Roman" w:cs="Times New Roman"/>
          <w:color w:val="000000" w:themeColor="text1"/>
        </w:rPr>
        <w:t>Conforme a 2ª Pesquisa Nacional,</w:t>
      </w:r>
      <w:r w:rsidR="008705FC" w:rsidRPr="00BC4E44">
        <w:rPr>
          <w:rFonts w:ascii="Times New Roman" w:hAnsi="Times New Roman" w:cs="Times New Roman"/>
          <w:color w:val="000000" w:themeColor="text1"/>
        </w:rPr>
        <w:t xml:space="preserve"> </w:t>
      </w:r>
      <w:r w:rsidR="00EF2B0A" w:rsidRPr="00BC4E44">
        <w:rPr>
          <w:rFonts w:ascii="Times New Roman" w:hAnsi="Times New Roman" w:cs="Times New Roman"/>
          <w:color w:val="000000" w:themeColor="text1"/>
        </w:rPr>
        <w:t>o tipo mais frequente é o assédio moral, com 87,6%</w:t>
      </w:r>
      <w:r w:rsidR="00E95617" w:rsidRPr="00BC4E44">
        <w:rPr>
          <w:rFonts w:ascii="Times New Roman" w:hAnsi="Times New Roman" w:cs="Times New Roman"/>
          <w:color w:val="000000" w:themeColor="text1"/>
        </w:rPr>
        <w:t xml:space="preserve">; </w:t>
      </w:r>
      <w:r w:rsidR="00EF2B0A" w:rsidRPr="00BC4E44">
        <w:rPr>
          <w:rFonts w:ascii="Times New Roman" w:hAnsi="Times New Roman" w:cs="Times New Roman"/>
          <w:color w:val="000000" w:themeColor="text1"/>
        </w:rPr>
        <w:t xml:space="preserve">em seguida, tem-se o assédio sexual, com 14,8%; outros tipos de assédio/discriminação, com 14,7%; e a discriminação em razão do gênero, com 13,1%. </w:t>
      </w:r>
      <w:r w:rsidR="00E95617" w:rsidRPr="00BC4E44">
        <w:rPr>
          <w:rFonts w:ascii="Times New Roman" w:hAnsi="Times New Roman" w:cs="Times New Roman"/>
          <w:color w:val="000000" w:themeColor="text1"/>
        </w:rPr>
        <w:t>A</w:t>
      </w:r>
      <w:r w:rsidR="00EF2B0A" w:rsidRPr="00BC4E44">
        <w:rPr>
          <w:rFonts w:ascii="Times New Roman" w:hAnsi="Times New Roman" w:cs="Times New Roman"/>
          <w:color w:val="000000" w:themeColor="text1"/>
        </w:rPr>
        <w:t>s mulheres estão mais submetidas a essa situação: são 14,8% a mais que os homens.</w:t>
      </w:r>
      <w:r w:rsidR="00EF2B0A" w:rsidRPr="00BC4E44">
        <w:rPr>
          <w:rStyle w:val="Refdenotaderodap"/>
          <w:rFonts w:ascii="Times New Roman" w:hAnsi="Times New Roman" w:cs="Times New Roman"/>
          <w:color w:val="000000" w:themeColor="text1"/>
        </w:rPr>
        <w:footnoteReference w:id="22"/>
      </w:r>
    </w:p>
    <w:p w14:paraId="4C0E692A" w14:textId="77777777" w:rsidR="007149DB" w:rsidRPr="00BC4E44" w:rsidRDefault="007149DB" w:rsidP="0033175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A57FC21" w14:textId="72E3BD42" w:rsidR="007767FE" w:rsidRPr="00BC4E44" w:rsidRDefault="00DE0010" w:rsidP="00E35F40">
      <w:pPr>
        <w:pStyle w:val="PargrafodaLista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C4E44">
        <w:rPr>
          <w:rFonts w:ascii="Times New Roman" w:hAnsi="Times New Roman" w:cs="Times New Roman"/>
          <w:b/>
          <w:bCs/>
          <w:color w:val="000000" w:themeColor="text1"/>
        </w:rPr>
        <w:t>Considerações finais</w:t>
      </w:r>
    </w:p>
    <w:p w14:paraId="12807086" w14:textId="1564D58D" w:rsidR="00C95AF6" w:rsidRDefault="00E35F40" w:rsidP="00E35F40">
      <w:pPr>
        <w:tabs>
          <w:tab w:val="left" w:pos="709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E35F40">
        <w:rPr>
          <w:rFonts w:ascii="Times New Roman" w:hAnsi="Times New Roman" w:cs="Times New Roman"/>
          <w:color w:val="000000" w:themeColor="text1"/>
        </w:rPr>
        <w:t>A Resolução CNJ nº</w:t>
      </w:r>
      <w:r w:rsidR="00DD3C7C">
        <w:rPr>
          <w:rFonts w:ascii="Times New Roman" w:hAnsi="Times New Roman" w:cs="Times New Roman"/>
          <w:color w:val="000000" w:themeColor="text1"/>
        </w:rPr>
        <w:t>.</w:t>
      </w:r>
      <w:r w:rsidRPr="00E35F40">
        <w:rPr>
          <w:rFonts w:ascii="Times New Roman" w:hAnsi="Times New Roman" w:cs="Times New Roman"/>
          <w:color w:val="000000" w:themeColor="text1"/>
        </w:rPr>
        <w:t xml:space="preserve"> 680/2026 representa importante avanço na conformação de um procedimento administrativo disciplinar compatível com a dignidade da pessoa humana, a igualdade de gênero e a proteção integral de vítimas e testemunhas. Ao vedar manifestações, provas e estratégias argumentativas sem pertinência com os fatos apurados, a norma reafirma que a busca pela verdade não autoriza a exposição indevida da vida privada, da intimidade ou da sexualidade de quem relata situações de violência. </w:t>
      </w:r>
    </w:p>
    <w:p w14:paraId="304CAC33" w14:textId="77777777" w:rsidR="00D523C4" w:rsidRDefault="00C95AF6" w:rsidP="00E35F40">
      <w:pPr>
        <w:tabs>
          <w:tab w:val="left" w:pos="709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Portanto</w:t>
      </w:r>
      <w:r w:rsidR="00E35F40" w:rsidRPr="00E35F40">
        <w:rPr>
          <w:rFonts w:ascii="Times New Roman" w:hAnsi="Times New Roman" w:cs="Times New Roman"/>
          <w:color w:val="000000" w:themeColor="text1"/>
        </w:rPr>
        <w:t xml:space="preserve">, </w:t>
      </w:r>
      <w:r>
        <w:rPr>
          <w:rFonts w:ascii="Times New Roman" w:hAnsi="Times New Roman" w:cs="Times New Roman"/>
          <w:color w:val="000000" w:themeColor="text1"/>
        </w:rPr>
        <w:t>veda-se a</w:t>
      </w:r>
      <w:r w:rsidR="00E35F40" w:rsidRPr="00E35F40">
        <w:rPr>
          <w:rFonts w:ascii="Times New Roman" w:hAnsi="Times New Roman" w:cs="Times New Roman"/>
          <w:color w:val="000000" w:themeColor="text1"/>
        </w:rPr>
        <w:t xml:space="preserve"> conver</w:t>
      </w:r>
      <w:r>
        <w:rPr>
          <w:rFonts w:ascii="Times New Roman" w:hAnsi="Times New Roman" w:cs="Times New Roman"/>
          <w:color w:val="000000" w:themeColor="text1"/>
        </w:rPr>
        <w:t>são do procedimento em um mecanismo de</w:t>
      </w:r>
      <w:r w:rsidR="00E35F40" w:rsidRPr="00E35F40">
        <w:rPr>
          <w:rFonts w:ascii="Times New Roman" w:hAnsi="Times New Roman" w:cs="Times New Roman"/>
          <w:color w:val="000000" w:themeColor="text1"/>
        </w:rPr>
        <w:t xml:space="preserve"> julgamento moral da vítima. A disciplina também revela a necessidade de superação de práticas institucionais que</w:t>
      </w:r>
      <w:r w:rsidR="001B18EE">
        <w:rPr>
          <w:rFonts w:ascii="Times New Roman" w:hAnsi="Times New Roman" w:cs="Times New Roman"/>
          <w:color w:val="000000" w:themeColor="text1"/>
        </w:rPr>
        <w:t xml:space="preserve"> </w:t>
      </w:r>
      <w:r w:rsidR="00E35F40" w:rsidRPr="00E35F40">
        <w:rPr>
          <w:rFonts w:ascii="Times New Roman" w:hAnsi="Times New Roman" w:cs="Times New Roman"/>
          <w:color w:val="000000" w:themeColor="text1"/>
        </w:rPr>
        <w:t>produzem efeitos discriminatórios e revitimizantes</w:t>
      </w:r>
      <w:r w:rsidR="001B18EE">
        <w:rPr>
          <w:rFonts w:ascii="Times New Roman" w:hAnsi="Times New Roman" w:cs="Times New Roman"/>
          <w:color w:val="000000" w:themeColor="text1"/>
        </w:rPr>
        <w:t>, sem que, para isso, se</w:t>
      </w:r>
      <w:r w:rsidR="00E35F40" w:rsidRPr="00E35F40">
        <w:rPr>
          <w:rFonts w:ascii="Times New Roman" w:hAnsi="Times New Roman" w:cs="Times New Roman"/>
          <w:color w:val="000000" w:themeColor="text1"/>
        </w:rPr>
        <w:t xml:space="preserve"> fragiliz</w:t>
      </w:r>
      <w:r w:rsidR="001B18EE">
        <w:rPr>
          <w:rFonts w:ascii="Times New Roman" w:hAnsi="Times New Roman" w:cs="Times New Roman"/>
          <w:color w:val="000000" w:themeColor="text1"/>
        </w:rPr>
        <w:t xml:space="preserve">e </w:t>
      </w:r>
      <w:r w:rsidR="00E35F40" w:rsidRPr="00E35F40">
        <w:rPr>
          <w:rFonts w:ascii="Times New Roman" w:hAnsi="Times New Roman" w:cs="Times New Roman"/>
          <w:color w:val="000000" w:themeColor="text1"/>
        </w:rPr>
        <w:t xml:space="preserve">o contraditório </w:t>
      </w:r>
      <w:r w:rsidR="001B18EE">
        <w:rPr>
          <w:rFonts w:ascii="Times New Roman" w:hAnsi="Times New Roman" w:cs="Times New Roman"/>
          <w:color w:val="000000" w:themeColor="text1"/>
        </w:rPr>
        <w:t xml:space="preserve">e </w:t>
      </w:r>
      <w:r w:rsidR="00D523C4">
        <w:rPr>
          <w:rFonts w:ascii="Times New Roman" w:hAnsi="Times New Roman" w:cs="Times New Roman"/>
          <w:color w:val="000000" w:themeColor="text1"/>
        </w:rPr>
        <w:t>se restrinja</w:t>
      </w:r>
      <w:r w:rsidR="00E35F40" w:rsidRPr="00E35F40">
        <w:rPr>
          <w:rFonts w:ascii="Times New Roman" w:hAnsi="Times New Roman" w:cs="Times New Roman"/>
          <w:color w:val="000000" w:themeColor="text1"/>
        </w:rPr>
        <w:t xml:space="preserve"> a ampla defesa.</w:t>
      </w:r>
    </w:p>
    <w:p w14:paraId="6990EAB3" w14:textId="58614DDD" w:rsidR="006617B3" w:rsidRDefault="00E35F40" w:rsidP="00E35F40">
      <w:pPr>
        <w:tabs>
          <w:tab w:val="left" w:pos="709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E35F40">
        <w:rPr>
          <w:rFonts w:ascii="Times New Roman" w:hAnsi="Times New Roman" w:cs="Times New Roman"/>
          <w:color w:val="000000" w:themeColor="text1"/>
        </w:rPr>
        <w:t>A aproximação entre a Resolução CNJ nº</w:t>
      </w:r>
      <w:r w:rsidR="00DD3C7C">
        <w:rPr>
          <w:rFonts w:ascii="Times New Roman" w:hAnsi="Times New Roman" w:cs="Times New Roman"/>
          <w:color w:val="000000" w:themeColor="text1"/>
        </w:rPr>
        <w:t>.</w:t>
      </w:r>
      <w:r w:rsidRPr="00E35F40">
        <w:rPr>
          <w:rFonts w:ascii="Times New Roman" w:hAnsi="Times New Roman" w:cs="Times New Roman"/>
          <w:color w:val="000000" w:themeColor="text1"/>
        </w:rPr>
        <w:t xml:space="preserve"> 680/2026</w:t>
      </w:r>
      <w:r w:rsidR="00D523C4">
        <w:rPr>
          <w:rFonts w:ascii="Times New Roman" w:hAnsi="Times New Roman" w:cs="Times New Roman"/>
          <w:color w:val="000000" w:themeColor="text1"/>
        </w:rPr>
        <w:t xml:space="preserve"> e</w:t>
      </w:r>
      <w:r w:rsidRPr="00E35F40">
        <w:rPr>
          <w:rFonts w:ascii="Times New Roman" w:hAnsi="Times New Roman" w:cs="Times New Roman"/>
          <w:color w:val="000000" w:themeColor="text1"/>
        </w:rPr>
        <w:t xml:space="preserve"> o artigo 400-A do </w:t>
      </w:r>
      <w:r w:rsidR="00D523C4">
        <w:rPr>
          <w:rFonts w:ascii="Times New Roman" w:hAnsi="Times New Roman" w:cs="Times New Roman"/>
          <w:color w:val="000000" w:themeColor="text1"/>
        </w:rPr>
        <w:t>CPP d</w:t>
      </w:r>
      <w:r w:rsidRPr="00E35F40">
        <w:rPr>
          <w:rFonts w:ascii="Times New Roman" w:hAnsi="Times New Roman" w:cs="Times New Roman"/>
          <w:color w:val="000000" w:themeColor="text1"/>
        </w:rPr>
        <w:t xml:space="preserve">emonstra a consolidação de um padrão normativo voltado à proteção da integridade física e psicológica de vítimas e testemunhas em espaços formais de apuração. Esse movimento amplia a compreensão de que a violência institucional pode ocorrer </w:t>
      </w:r>
      <w:r w:rsidR="006617B3">
        <w:rPr>
          <w:rFonts w:ascii="Times New Roman" w:hAnsi="Times New Roman" w:cs="Times New Roman"/>
          <w:color w:val="000000" w:themeColor="text1"/>
        </w:rPr>
        <w:t>em quaisquer espaços</w:t>
      </w:r>
      <w:r w:rsidRPr="00E35F40">
        <w:rPr>
          <w:rFonts w:ascii="Times New Roman" w:hAnsi="Times New Roman" w:cs="Times New Roman"/>
          <w:color w:val="000000" w:themeColor="text1"/>
        </w:rPr>
        <w:t xml:space="preserve"> </w:t>
      </w:r>
      <w:r w:rsidR="006617B3">
        <w:rPr>
          <w:rFonts w:ascii="Times New Roman" w:hAnsi="Times New Roman" w:cs="Times New Roman"/>
          <w:color w:val="000000" w:themeColor="text1"/>
        </w:rPr>
        <w:t>onde existam</w:t>
      </w:r>
      <w:r w:rsidRPr="00E35F40">
        <w:rPr>
          <w:rFonts w:ascii="Times New Roman" w:hAnsi="Times New Roman" w:cs="Times New Roman"/>
          <w:color w:val="000000" w:themeColor="text1"/>
        </w:rPr>
        <w:t xml:space="preserve"> relaç</w:t>
      </w:r>
      <w:r w:rsidR="006617B3">
        <w:rPr>
          <w:rFonts w:ascii="Times New Roman" w:hAnsi="Times New Roman" w:cs="Times New Roman"/>
          <w:color w:val="000000" w:themeColor="text1"/>
        </w:rPr>
        <w:t xml:space="preserve">ões </w:t>
      </w:r>
      <w:r w:rsidRPr="00E35F40">
        <w:rPr>
          <w:rFonts w:ascii="Times New Roman" w:hAnsi="Times New Roman" w:cs="Times New Roman"/>
          <w:color w:val="000000" w:themeColor="text1"/>
        </w:rPr>
        <w:t xml:space="preserve">de poder, hierarquia funcional e autoridade simbólica. Por essa razão, a atuação da autoridade responsável pela condução do feito assume papel decisivo para impedir abusos e preservar a legitimidade do procedimento. </w:t>
      </w:r>
    </w:p>
    <w:p w14:paraId="3D35840E" w14:textId="3354179D" w:rsidR="00800ED0" w:rsidRDefault="006617B3" w:rsidP="00E35F40">
      <w:pPr>
        <w:tabs>
          <w:tab w:val="left" w:pos="709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No entanto, há de se ressaltar: a</w:t>
      </w:r>
      <w:r w:rsidR="00E35F40" w:rsidRPr="00E35F40">
        <w:rPr>
          <w:rFonts w:ascii="Times New Roman" w:hAnsi="Times New Roman" w:cs="Times New Roman"/>
          <w:color w:val="000000" w:themeColor="text1"/>
        </w:rPr>
        <w:t xml:space="preserve"> efetividade dependerá</w:t>
      </w:r>
      <w:r w:rsidR="009A40FC">
        <w:rPr>
          <w:rFonts w:ascii="Times New Roman" w:hAnsi="Times New Roman" w:cs="Times New Roman"/>
          <w:color w:val="000000" w:themeColor="text1"/>
        </w:rPr>
        <w:t xml:space="preserve"> </w:t>
      </w:r>
      <w:r w:rsidR="00E35F40" w:rsidRPr="00E35F40">
        <w:rPr>
          <w:rFonts w:ascii="Times New Roman" w:hAnsi="Times New Roman" w:cs="Times New Roman"/>
          <w:color w:val="000000" w:themeColor="text1"/>
        </w:rPr>
        <w:t>de aplicação rigorosa, formação adequada dos agentes responsáveis pela condução dos procedimentos e vigilância permanente contra práticas que desloquem o foco da conduta investigada para a vida privada da vítima ou da testemunha.</w:t>
      </w:r>
    </w:p>
    <w:p w14:paraId="3747A85E" w14:textId="77777777" w:rsidR="00CB76F8" w:rsidRPr="00BC4E44" w:rsidRDefault="00CB76F8" w:rsidP="00E35F4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2BC6E97" w14:textId="5A91BB3C" w:rsidR="00CF4B4C" w:rsidRPr="00BC4E44" w:rsidRDefault="00604BCA" w:rsidP="00E35F40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C4E44">
        <w:rPr>
          <w:rFonts w:ascii="Times New Roman" w:hAnsi="Times New Roman" w:cs="Times New Roman"/>
          <w:b/>
          <w:bCs/>
          <w:color w:val="000000" w:themeColor="text1"/>
        </w:rPr>
        <w:t xml:space="preserve">REFERÊNCIAS </w:t>
      </w:r>
    </w:p>
    <w:p w14:paraId="4B3034D9" w14:textId="77777777" w:rsidR="0054059F" w:rsidRDefault="0054059F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E76D05B" w14:textId="29B70C7E" w:rsidR="00B51BF4" w:rsidRDefault="00B51BF4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B51BF4">
        <w:rPr>
          <w:rFonts w:ascii="Times New Roman" w:hAnsi="Times New Roman" w:cs="Times New Roman"/>
          <w:color w:val="000000" w:themeColor="text1"/>
        </w:rPr>
        <w:t xml:space="preserve">ABBOUD, Georges. </w:t>
      </w:r>
      <w:r w:rsidRPr="008A7BE1">
        <w:rPr>
          <w:rFonts w:ascii="Times New Roman" w:hAnsi="Times New Roman" w:cs="Times New Roman"/>
          <w:i/>
          <w:iCs/>
          <w:color w:val="000000" w:themeColor="text1"/>
        </w:rPr>
        <w:t>Constituição Federal comentada</w:t>
      </w:r>
      <w:r w:rsidRPr="00B51BF4">
        <w:rPr>
          <w:rFonts w:ascii="Times New Roman" w:hAnsi="Times New Roman" w:cs="Times New Roman"/>
          <w:color w:val="000000" w:themeColor="text1"/>
        </w:rPr>
        <w:t>. São Paulo: Thomson Reuters Brasil, 2026. p. 299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01A04F21" w14:textId="77777777" w:rsidR="00B51BF4" w:rsidRPr="00B51BF4" w:rsidRDefault="00B51BF4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F243475" w14:textId="457E01AD" w:rsidR="00B51BF4" w:rsidRDefault="00B51BF4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B51BF4">
        <w:rPr>
          <w:rFonts w:ascii="Times New Roman" w:hAnsi="Times New Roman" w:cs="Times New Roman"/>
          <w:color w:val="000000" w:themeColor="text1"/>
        </w:rPr>
        <w:t xml:space="preserve">BADARÓ, Gustavo. </w:t>
      </w:r>
      <w:r w:rsidRPr="008A7BE1">
        <w:rPr>
          <w:rFonts w:ascii="Times New Roman" w:hAnsi="Times New Roman" w:cs="Times New Roman"/>
          <w:i/>
          <w:iCs/>
          <w:color w:val="000000" w:themeColor="text1"/>
        </w:rPr>
        <w:t>Direito à prova e os limites lógicos de sua admissão</w:t>
      </w:r>
      <w:r w:rsidRPr="00B51BF4">
        <w:rPr>
          <w:rFonts w:ascii="Times New Roman" w:hAnsi="Times New Roman" w:cs="Times New Roman"/>
          <w:color w:val="000000" w:themeColor="text1"/>
        </w:rPr>
        <w:t>: os conceitos de pertinência e relevância. Inédito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1FDDAE6D" w14:textId="77777777" w:rsidR="00B51BF4" w:rsidRPr="00B51BF4" w:rsidRDefault="00B51BF4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AFD6105" w14:textId="4D488191" w:rsidR="00B51BF4" w:rsidRDefault="00B51BF4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B51BF4">
        <w:rPr>
          <w:rFonts w:ascii="Times New Roman" w:hAnsi="Times New Roman" w:cs="Times New Roman"/>
          <w:color w:val="000000" w:themeColor="text1"/>
        </w:rPr>
        <w:t xml:space="preserve">BRASIL. Conselho Nacional de Justiça. </w:t>
      </w:r>
      <w:r w:rsidRPr="008A7BE1">
        <w:rPr>
          <w:rFonts w:ascii="Times New Roman" w:hAnsi="Times New Roman" w:cs="Times New Roman"/>
          <w:i/>
          <w:iCs/>
          <w:color w:val="000000" w:themeColor="text1"/>
        </w:rPr>
        <w:t>Assédio e discriminação no âmbito do Poder Judiciário</w:t>
      </w:r>
      <w:r w:rsidRPr="008A7BE1">
        <w:rPr>
          <w:rFonts w:ascii="Times New Roman" w:hAnsi="Times New Roman" w:cs="Times New Roman"/>
          <w:color w:val="000000" w:themeColor="text1"/>
        </w:rPr>
        <w:t>: 2ª pesquisa nacional</w:t>
      </w:r>
      <w:r w:rsidRPr="00B51BF4">
        <w:rPr>
          <w:rFonts w:ascii="Times New Roman" w:hAnsi="Times New Roman" w:cs="Times New Roman"/>
          <w:color w:val="000000" w:themeColor="text1"/>
        </w:rPr>
        <w:t>. Brasília: CNJ, 2023. p. 67. Disponível em: https://www.cnj.jus.br/wp-content/uploads/2024/08/2-a-pesquisa-nacional-assedio-e-discriminacao-no-ambito-do-poder-judiciario-020523-cnj.pdf. Acesso em: 28 maio 2026.</w:t>
      </w:r>
    </w:p>
    <w:p w14:paraId="0FE821A1" w14:textId="77777777" w:rsidR="00B51BF4" w:rsidRPr="00B51BF4" w:rsidRDefault="00B51BF4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57FC19A" w14:textId="18855CA2" w:rsidR="00B51BF4" w:rsidRDefault="00B51BF4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B51BF4">
        <w:rPr>
          <w:rFonts w:ascii="Times New Roman" w:hAnsi="Times New Roman" w:cs="Times New Roman"/>
          <w:color w:val="000000" w:themeColor="text1"/>
        </w:rPr>
        <w:t xml:space="preserve">BRASIL. Conselho Nacional de Justiça. </w:t>
      </w:r>
      <w:r w:rsidRPr="00B51BF4">
        <w:rPr>
          <w:rFonts w:ascii="Times New Roman" w:hAnsi="Times New Roman" w:cs="Times New Roman"/>
          <w:i/>
          <w:iCs/>
          <w:color w:val="000000" w:themeColor="text1"/>
        </w:rPr>
        <w:t>CNJ barra exposição da vida íntima de vítimas no Judiciário</w:t>
      </w:r>
      <w:r w:rsidRPr="00B51BF4">
        <w:rPr>
          <w:rFonts w:ascii="Times New Roman" w:hAnsi="Times New Roman" w:cs="Times New Roman"/>
          <w:color w:val="000000" w:themeColor="text1"/>
        </w:rPr>
        <w:t>. Disponível em: https://www.cnj.jus.br/cnj-barra-exposicao-da-vida-intima-de-vitimas-no-judiciario/. Acesso em: 28 maio 2026.</w:t>
      </w:r>
    </w:p>
    <w:p w14:paraId="6C9758FC" w14:textId="77777777" w:rsidR="00B51BF4" w:rsidRPr="00B51BF4" w:rsidRDefault="00B51BF4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133010C" w14:textId="07C0242C" w:rsidR="00B51BF4" w:rsidRDefault="00B51BF4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B51BF4">
        <w:rPr>
          <w:rFonts w:ascii="Times New Roman" w:hAnsi="Times New Roman" w:cs="Times New Roman"/>
          <w:color w:val="000000" w:themeColor="text1"/>
        </w:rPr>
        <w:t xml:space="preserve">BRASIL. Conselho Nacional de Justiça. </w:t>
      </w:r>
      <w:r w:rsidRPr="00B51BF4">
        <w:rPr>
          <w:rFonts w:ascii="Times New Roman" w:hAnsi="Times New Roman" w:cs="Times New Roman"/>
          <w:i/>
          <w:iCs/>
          <w:color w:val="000000" w:themeColor="text1"/>
        </w:rPr>
        <w:t>Resolução n.</w:t>
      </w:r>
      <w:r>
        <w:rPr>
          <w:rFonts w:ascii="Times New Roman" w:hAnsi="Times New Roman" w:cs="Times New Roman"/>
          <w:i/>
          <w:iCs/>
          <w:color w:val="000000" w:themeColor="text1"/>
        </w:rPr>
        <w:t>º</w:t>
      </w:r>
      <w:r w:rsidRPr="00B51BF4">
        <w:rPr>
          <w:rFonts w:ascii="Times New Roman" w:hAnsi="Times New Roman" w:cs="Times New Roman"/>
          <w:i/>
          <w:iCs/>
          <w:color w:val="000000" w:themeColor="text1"/>
        </w:rPr>
        <w:t xml:space="preserve"> 351, de 28 de outubro de 2020</w:t>
      </w:r>
      <w:r w:rsidRPr="00B51BF4">
        <w:rPr>
          <w:rFonts w:ascii="Times New Roman" w:hAnsi="Times New Roman" w:cs="Times New Roman"/>
          <w:color w:val="000000" w:themeColor="text1"/>
        </w:rPr>
        <w:t>. DJe/CNJ, n. 349, 29 out. 2020, p. 15-21. Disponível em: https://atos.cnj.jus.br/atos/detalhar/3557. Acesso em: 28 maio 2026.</w:t>
      </w:r>
    </w:p>
    <w:p w14:paraId="2A7B5BF7" w14:textId="77777777" w:rsidR="00B51BF4" w:rsidRPr="00B51BF4" w:rsidRDefault="00B51BF4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CBBE382" w14:textId="27B3418B" w:rsidR="00B51BF4" w:rsidRDefault="00B51BF4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B51BF4">
        <w:rPr>
          <w:rFonts w:ascii="Times New Roman" w:hAnsi="Times New Roman" w:cs="Times New Roman"/>
          <w:color w:val="000000" w:themeColor="text1"/>
        </w:rPr>
        <w:t xml:space="preserve">BRASIL. </w:t>
      </w:r>
      <w:r w:rsidRPr="00B51BF4">
        <w:rPr>
          <w:rFonts w:ascii="Times New Roman" w:hAnsi="Times New Roman" w:cs="Times New Roman"/>
          <w:i/>
          <w:iCs/>
          <w:color w:val="000000" w:themeColor="text1"/>
        </w:rPr>
        <w:t>Lei n.</w:t>
      </w:r>
      <w:r>
        <w:rPr>
          <w:rFonts w:ascii="Times New Roman" w:hAnsi="Times New Roman" w:cs="Times New Roman"/>
          <w:i/>
          <w:iCs/>
          <w:color w:val="000000" w:themeColor="text1"/>
        </w:rPr>
        <w:t>º</w:t>
      </w:r>
      <w:r w:rsidRPr="00B51BF4">
        <w:rPr>
          <w:rFonts w:ascii="Times New Roman" w:hAnsi="Times New Roman" w:cs="Times New Roman"/>
          <w:i/>
          <w:iCs/>
          <w:color w:val="000000" w:themeColor="text1"/>
        </w:rPr>
        <w:t xml:space="preserve"> 14.245, de 22 de novembro de 2021</w:t>
      </w:r>
      <w:r w:rsidRPr="00B51BF4">
        <w:rPr>
          <w:rFonts w:ascii="Times New Roman" w:hAnsi="Times New Roman" w:cs="Times New Roman"/>
          <w:color w:val="000000" w:themeColor="text1"/>
        </w:rPr>
        <w:t xml:space="preserve">. Altera o Decreto-Lei n. 3.689, de 3 de outubro de 1941 </w:t>
      </w:r>
      <w:r w:rsidR="00331753">
        <w:rPr>
          <w:rFonts w:ascii="Times New Roman" w:hAnsi="Times New Roman" w:cs="Times New Roman"/>
          <w:color w:val="000000" w:themeColor="text1"/>
        </w:rPr>
        <w:t>-</w:t>
      </w:r>
      <w:r w:rsidRPr="00B51BF4">
        <w:rPr>
          <w:rFonts w:ascii="Times New Roman" w:hAnsi="Times New Roman" w:cs="Times New Roman"/>
          <w:color w:val="000000" w:themeColor="text1"/>
        </w:rPr>
        <w:t xml:space="preserve"> Código de Processo Penal </w:t>
      </w:r>
      <w:r w:rsidR="00331753">
        <w:rPr>
          <w:rFonts w:ascii="Times New Roman" w:hAnsi="Times New Roman" w:cs="Times New Roman"/>
          <w:color w:val="000000" w:themeColor="text1"/>
        </w:rPr>
        <w:t>-</w:t>
      </w:r>
      <w:r w:rsidRPr="00B51BF4">
        <w:rPr>
          <w:rFonts w:ascii="Times New Roman" w:hAnsi="Times New Roman" w:cs="Times New Roman"/>
          <w:color w:val="000000" w:themeColor="text1"/>
        </w:rPr>
        <w:t>, para coibir a prática de atos atentatórios à dignidade da vítima e de testemunhas. Diário Oficial da União: seção 1, Brasília, DF, 23 nov. 2021.</w:t>
      </w:r>
    </w:p>
    <w:p w14:paraId="351A4E95" w14:textId="77777777" w:rsidR="00B51BF4" w:rsidRPr="00B51BF4" w:rsidRDefault="00B51BF4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F13A3E7" w14:textId="1212450B" w:rsidR="00B51BF4" w:rsidRDefault="00B51BF4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51BF4">
        <w:rPr>
          <w:rFonts w:ascii="Times New Roman" w:hAnsi="Times New Roman" w:cs="Times New Roman"/>
          <w:color w:val="000000" w:themeColor="text1"/>
        </w:rPr>
        <w:t xml:space="preserve">CONSELHO NACIONAL DE JUSTIÇA. </w:t>
      </w:r>
      <w:r w:rsidRPr="00B51BF4">
        <w:rPr>
          <w:rFonts w:ascii="Times New Roman" w:hAnsi="Times New Roman" w:cs="Times New Roman"/>
          <w:i/>
          <w:iCs/>
          <w:color w:val="000000" w:themeColor="text1"/>
        </w:rPr>
        <w:t>5ª Sessão Ordinária de 2026</w:t>
      </w:r>
      <w:r w:rsidRPr="00B51BF4">
        <w:rPr>
          <w:rFonts w:ascii="Times New Roman" w:hAnsi="Times New Roman" w:cs="Times New Roman"/>
          <w:color w:val="000000" w:themeColor="text1"/>
        </w:rPr>
        <w:t xml:space="preserve">: 14 de abril, manhã. YouTube, 14 abr. 2026. Disponível em: https://www.youtube.com/watch?v=XlCuBj0RiSk&amp;list=PLlJgviu9EmVLi_LGJt-3YOylVF09uztuX&amp;index=10&amp;t=6640s. </w:t>
      </w:r>
      <w:r w:rsidRPr="00B51BF4">
        <w:rPr>
          <w:rFonts w:ascii="Times New Roman" w:hAnsi="Times New Roman" w:cs="Times New Roman"/>
          <w:color w:val="000000" w:themeColor="text1"/>
          <w:lang w:val="en-US"/>
        </w:rPr>
        <w:t>Acesso em: 28 maio 2026.</w:t>
      </w:r>
    </w:p>
    <w:p w14:paraId="7E353AA7" w14:textId="77777777" w:rsidR="00B51BF4" w:rsidRPr="00B51BF4" w:rsidRDefault="00B51BF4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5F83CAAB" w14:textId="4F08136C" w:rsidR="00B51BF4" w:rsidRDefault="00B51BF4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51BF4">
        <w:rPr>
          <w:rFonts w:ascii="Times New Roman" w:hAnsi="Times New Roman" w:cs="Times New Roman"/>
          <w:color w:val="000000" w:themeColor="text1"/>
          <w:lang w:val="en-US"/>
        </w:rPr>
        <w:t xml:space="preserve">HERMAN, Judith Lewis. </w:t>
      </w:r>
      <w:r w:rsidRPr="00B51BF4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Trauma and recovery: </w:t>
      </w:r>
      <w:r w:rsidRPr="008A7BE1">
        <w:rPr>
          <w:rFonts w:ascii="Times New Roman" w:hAnsi="Times New Roman" w:cs="Times New Roman"/>
          <w:color w:val="000000" w:themeColor="text1"/>
          <w:lang w:val="en-US"/>
        </w:rPr>
        <w:t xml:space="preserve">the aftermath of violence </w:t>
      </w:r>
      <w:r w:rsidR="008A7BE1" w:rsidRPr="008A7BE1"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8A7BE1">
        <w:rPr>
          <w:rFonts w:ascii="Times New Roman" w:hAnsi="Times New Roman" w:cs="Times New Roman"/>
          <w:color w:val="000000" w:themeColor="text1"/>
          <w:lang w:val="en-US"/>
        </w:rPr>
        <w:t xml:space="preserve"> from domestic abuse to political terror</w:t>
      </w:r>
      <w:r w:rsidRPr="00B51BF4">
        <w:rPr>
          <w:rFonts w:ascii="Times New Roman" w:hAnsi="Times New Roman" w:cs="Times New Roman"/>
          <w:color w:val="000000" w:themeColor="text1"/>
          <w:lang w:val="en-US"/>
        </w:rPr>
        <w:t>. London: Basic Books, 1992.</w:t>
      </w:r>
    </w:p>
    <w:p w14:paraId="43DB7313" w14:textId="77777777" w:rsidR="00B51BF4" w:rsidRPr="00B51BF4" w:rsidRDefault="00B51BF4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5E02DA03" w14:textId="689ECA0E" w:rsidR="00B51BF4" w:rsidRDefault="00B51BF4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B51BF4">
        <w:rPr>
          <w:rFonts w:ascii="Times New Roman" w:hAnsi="Times New Roman" w:cs="Times New Roman"/>
          <w:color w:val="000000" w:themeColor="text1"/>
          <w:lang w:val="en-US"/>
        </w:rPr>
        <w:t xml:space="preserve">MENDES, Gilmar Ferreira. Art. 5º, inciso LIV. </w:t>
      </w:r>
      <w:r w:rsidRPr="008A7BE1">
        <w:rPr>
          <w:rFonts w:ascii="Times New Roman" w:hAnsi="Times New Roman" w:cs="Times New Roman"/>
          <w:i/>
          <w:iCs/>
          <w:color w:val="000000" w:themeColor="text1"/>
        </w:rPr>
        <w:t>In</w:t>
      </w:r>
      <w:r w:rsidRPr="00B51BF4">
        <w:rPr>
          <w:rFonts w:ascii="Times New Roman" w:hAnsi="Times New Roman" w:cs="Times New Roman"/>
          <w:color w:val="000000" w:themeColor="text1"/>
        </w:rPr>
        <w:t xml:space="preserve">: CANOTILHO, José Joaquim Gomes; LEONCY, Léo Ferreira (coord.). </w:t>
      </w:r>
      <w:r w:rsidRPr="00B51BF4">
        <w:rPr>
          <w:rFonts w:ascii="Times New Roman" w:hAnsi="Times New Roman" w:cs="Times New Roman"/>
          <w:i/>
          <w:iCs/>
          <w:color w:val="000000" w:themeColor="text1"/>
        </w:rPr>
        <w:t>Comentários à Constituição do Brasil</w:t>
      </w:r>
      <w:r w:rsidRPr="00B51BF4">
        <w:rPr>
          <w:rFonts w:ascii="Times New Roman" w:hAnsi="Times New Roman" w:cs="Times New Roman"/>
          <w:color w:val="000000" w:themeColor="text1"/>
        </w:rPr>
        <w:t xml:space="preserve">. São Paulo: Saraiva, 2018. </w:t>
      </w:r>
    </w:p>
    <w:p w14:paraId="5DD3504E" w14:textId="77777777" w:rsidR="00B51BF4" w:rsidRPr="00B51BF4" w:rsidRDefault="00B51BF4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9DB1DDD" w14:textId="50FF2E44" w:rsidR="00B51BF4" w:rsidRPr="00B51BF4" w:rsidRDefault="00B51BF4" w:rsidP="00B51B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B51BF4">
        <w:rPr>
          <w:rFonts w:ascii="Times New Roman" w:hAnsi="Times New Roman" w:cs="Times New Roman"/>
          <w:color w:val="000000" w:themeColor="text1"/>
        </w:rPr>
        <w:t xml:space="preserve">SANTOS, Celeste Leite dos; FELICIANO, Guilherme Guimarães; FERREIRA, Mariana Borges Ferrer. Habeas corpus em favor da vítima de crimes sexuais: legitimidade do Ministério Público e do assistente de acusação na tutela da dignidade humana, da imparcialidade judicial e do devido processo legal. </w:t>
      </w:r>
      <w:r w:rsidRPr="00B51BF4">
        <w:rPr>
          <w:rFonts w:ascii="Times New Roman" w:hAnsi="Times New Roman" w:cs="Times New Roman"/>
          <w:i/>
          <w:iCs/>
          <w:color w:val="000000" w:themeColor="text1"/>
        </w:rPr>
        <w:t>Revista Internacional de Vitimologia e Justiça Restaurativa</w:t>
      </w:r>
      <w:r w:rsidRPr="00B51BF4">
        <w:rPr>
          <w:rFonts w:ascii="Times New Roman" w:hAnsi="Times New Roman" w:cs="Times New Roman"/>
          <w:color w:val="000000" w:themeColor="text1"/>
        </w:rPr>
        <w:t>, v. 4, n. 1, 2026.</w:t>
      </w:r>
    </w:p>
    <w:p w14:paraId="24F5DFF1" w14:textId="77777777" w:rsidR="005A4AC6" w:rsidRPr="00BC4E44" w:rsidRDefault="005A4AC6" w:rsidP="00E35F4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sectPr w:rsidR="005A4AC6" w:rsidRPr="00BC4E44"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AB51CC" w14:textId="77777777" w:rsidR="00827151" w:rsidRDefault="00827151" w:rsidP="00A00129">
      <w:pPr>
        <w:spacing w:after="0" w:line="240" w:lineRule="auto"/>
      </w:pPr>
      <w:r>
        <w:separator/>
      </w:r>
    </w:p>
  </w:endnote>
  <w:endnote w:type="continuationSeparator" w:id="0">
    <w:p w14:paraId="077BE4B1" w14:textId="77777777" w:rsidR="00827151" w:rsidRDefault="00827151" w:rsidP="00A001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0"/>
        <w:szCs w:val="20"/>
      </w:rPr>
      <w:id w:val="1371645825"/>
      <w:docPartObj>
        <w:docPartGallery w:val="Page Numbers (Bottom of Page)"/>
        <w:docPartUnique/>
      </w:docPartObj>
    </w:sdtPr>
    <w:sdtContent>
      <w:p w14:paraId="42BEF4FD" w14:textId="1CFD4C8B" w:rsidR="00273225" w:rsidRPr="00273225" w:rsidRDefault="00273225" w:rsidP="00273225">
        <w:pPr>
          <w:pStyle w:val="Rodap"/>
          <w:jc w:val="right"/>
          <w:rPr>
            <w:rFonts w:ascii="Times New Roman" w:hAnsi="Times New Roman" w:cs="Times New Roman"/>
            <w:sz w:val="20"/>
            <w:szCs w:val="20"/>
          </w:rPr>
        </w:pPr>
        <w:r w:rsidRPr="00273225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273225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273225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273225">
          <w:rPr>
            <w:rFonts w:ascii="Times New Roman" w:hAnsi="Times New Roman" w:cs="Times New Roman"/>
            <w:sz w:val="20"/>
            <w:szCs w:val="20"/>
          </w:rPr>
          <w:t>2</w:t>
        </w:r>
        <w:r w:rsidRPr="00273225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3FDC6A" w14:textId="77777777" w:rsidR="00827151" w:rsidRDefault="00827151" w:rsidP="00A00129">
      <w:pPr>
        <w:spacing w:after="0" w:line="240" w:lineRule="auto"/>
      </w:pPr>
      <w:r>
        <w:separator/>
      </w:r>
    </w:p>
  </w:footnote>
  <w:footnote w:type="continuationSeparator" w:id="0">
    <w:p w14:paraId="3D2E7EA2" w14:textId="77777777" w:rsidR="00827151" w:rsidRDefault="00827151" w:rsidP="00A00129">
      <w:pPr>
        <w:spacing w:after="0" w:line="240" w:lineRule="auto"/>
      </w:pPr>
      <w:r>
        <w:continuationSeparator/>
      </w:r>
    </w:p>
  </w:footnote>
  <w:footnote w:id="1">
    <w:p w14:paraId="44852082" w14:textId="77777777" w:rsidR="00A00129" w:rsidRPr="00CB76F8" w:rsidRDefault="00A00129" w:rsidP="00CB76F8">
      <w:pPr>
        <w:pStyle w:val="Textodenotaderodap"/>
        <w:jc w:val="both"/>
        <w:rPr>
          <w:rFonts w:ascii="Times New Roman" w:hAnsi="Times New Roman" w:cs="Times New Roman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</w:rPr>
        <w:t xml:space="preserve"> Advogada. Desembargadora Federal Aposentada do Tribunal Regional Federal da 3ª Região (TRF3). Mestre em Direito pelo Instituto Brasileiro de Ensino Desenvolvimento e Pesquisa (IDP).</w:t>
      </w:r>
    </w:p>
  </w:footnote>
  <w:footnote w:id="2">
    <w:p w14:paraId="423CEE9F" w14:textId="77777777" w:rsidR="00A00129" w:rsidRPr="00CB76F8" w:rsidRDefault="00A00129" w:rsidP="00CB76F8">
      <w:pPr>
        <w:pStyle w:val="Textodenotaderodap"/>
        <w:jc w:val="both"/>
        <w:rPr>
          <w:rFonts w:ascii="Times New Roman" w:hAnsi="Times New Roman" w:cs="Times New Roman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</w:rPr>
        <w:t xml:space="preserve"> Advogada. Mestranda em Direito (Área de Concentração: Direito Processual) da Faculdade de Direito da Universidade de São Paulo (USP).</w:t>
      </w:r>
    </w:p>
  </w:footnote>
  <w:footnote w:id="3">
    <w:p w14:paraId="42665D3A" w14:textId="6F1AE8C0" w:rsidR="00E32DB2" w:rsidRPr="00CB76F8" w:rsidRDefault="00E32DB2" w:rsidP="00CB76F8">
      <w:pPr>
        <w:pStyle w:val="Textodenotaderodap"/>
        <w:jc w:val="both"/>
        <w:rPr>
          <w:rFonts w:ascii="Times New Roman" w:hAnsi="Times New Roman" w:cs="Times New Roman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</w:rPr>
        <w:t xml:space="preserve"> Publicada no DJe/CNJ de 6 de maio de 2026, data de sua entrada em vigor.</w:t>
      </w:r>
    </w:p>
  </w:footnote>
  <w:footnote w:id="4">
    <w:p w14:paraId="239BFAAC" w14:textId="77777777" w:rsidR="00252297" w:rsidRPr="00CB76F8" w:rsidRDefault="00252297" w:rsidP="00CB76F8">
      <w:pPr>
        <w:pStyle w:val="Textodenotaderodap"/>
        <w:jc w:val="both"/>
        <w:rPr>
          <w:rFonts w:ascii="Times New Roman" w:hAnsi="Times New Roman" w:cs="Times New Roman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</w:rPr>
        <w:t xml:space="preserve"> A Resolução CNJ nº 135/2011 dispõe sobre a uniformização de normas relativas ao procedimento administrativo disciplinar aplicável aos magistrados, acerca do rito e das penalidades, e dá outras providências.</w:t>
      </w:r>
    </w:p>
  </w:footnote>
  <w:footnote w:id="5">
    <w:p w14:paraId="56634B6E" w14:textId="77777777" w:rsidR="006C0934" w:rsidRPr="00CB76F8" w:rsidRDefault="006C0934" w:rsidP="00CB76F8">
      <w:pPr>
        <w:pStyle w:val="Textodenotaderodap"/>
        <w:jc w:val="both"/>
        <w:rPr>
          <w:rFonts w:ascii="Times New Roman" w:hAnsi="Times New Roman" w:cs="Times New Roman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</w:rPr>
        <w:t xml:space="preserve"> BRASIL. Conselho Nacional de Justiça (CNJ). </w:t>
      </w:r>
      <w:r w:rsidRPr="00CB76F8">
        <w:rPr>
          <w:rFonts w:ascii="Times New Roman" w:hAnsi="Times New Roman" w:cs="Times New Roman"/>
          <w:i/>
          <w:iCs/>
        </w:rPr>
        <w:t>CNJ barra exposição da vida íntima de vítimas no Judiciário</w:t>
      </w:r>
      <w:r w:rsidRPr="00CB76F8">
        <w:rPr>
          <w:rFonts w:ascii="Times New Roman" w:hAnsi="Times New Roman" w:cs="Times New Roman"/>
        </w:rPr>
        <w:t>. Disponível em: https://www.cnj.jus.br/cnj-barra-exposicao-da-vida-intima-de-vitimas-no-judiciario/. Acesso em: 28 maio 2026.</w:t>
      </w:r>
    </w:p>
  </w:footnote>
  <w:footnote w:id="6">
    <w:p w14:paraId="3A51A489" w14:textId="77777777" w:rsidR="006C0934" w:rsidRPr="00CB76F8" w:rsidRDefault="006C0934" w:rsidP="00CB76F8">
      <w:pPr>
        <w:pStyle w:val="Textodenotaderodap"/>
        <w:jc w:val="both"/>
        <w:rPr>
          <w:rFonts w:ascii="Times New Roman" w:hAnsi="Times New Roman" w:cs="Times New Roman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</w:rPr>
        <w:t xml:space="preserve"> CONSELHO NACIONAL DE JUSTIÇA (CNJ). 5ª Sessão Ordinária de 2026. 14 de abril (Manhã). YouTube, 14 abr. 2026. Disponível em: https://www.youtube.com/watch?v=XlCuBj0RiSk&amp;list=PLlJgviu9EmVLi_LGJt-3YOylVF09uztuX&amp;index=10&amp;t=6640s. Acesso em: 28 maio 2026.</w:t>
      </w:r>
    </w:p>
  </w:footnote>
  <w:footnote w:id="7">
    <w:p w14:paraId="6295BDFD" w14:textId="77777777" w:rsidR="0057440C" w:rsidRPr="00CB76F8" w:rsidRDefault="0057440C" w:rsidP="00CB76F8">
      <w:pPr>
        <w:pStyle w:val="Textodenotaderodap"/>
        <w:jc w:val="both"/>
        <w:rPr>
          <w:rFonts w:ascii="Times New Roman" w:hAnsi="Times New Roman" w:cs="Times New Roman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</w:rPr>
        <w:t xml:space="preserve"> BRASIL. Conselho Nacional de Justiça (CNJ). </w:t>
      </w:r>
      <w:r w:rsidRPr="00CB76F8">
        <w:rPr>
          <w:rFonts w:ascii="Times New Roman" w:hAnsi="Times New Roman" w:cs="Times New Roman"/>
          <w:i/>
          <w:iCs/>
        </w:rPr>
        <w:t>CNJ barra exposição da vida íntima de vítimas no Judiciário</w:t>
      </w:r>
      <w:r w:rsidRPr="00CB76F8">
        <w:rPr>
          <w:rFonts w:ascii="Times New Roman" w:hAnsi="Times New Roman" w:cs="Times New Roman"/>
        </w:rPr>
        <w:t>. Disponível em: https://www.cnj.jus.br/cnj-barra-exposicao-da-vida-intima-de-vitimas-no-judiciario/. Acesso em: 28 maio 2026.</w:t>
      </w:r>
    </w:p>
  </w:footnote>
  <w:footnote w:id="8">
    <w:p w14:paraId="25A68FBE" w14:textId="77777777" w:rsidR="0057440C" w:rsidRPr="0090496F" w:rsidRDefault="0057440C" w:rsidP="00CB76F8">
      <w:pPr>
        <w:pStyle w:val="Textodenotaderodap"/>
        <w:jc w:val="both"/>
        <w:rPr>
          <w:rFonts w:ascii="Times New Roman" w:hAnsi="Times New Roman" w:cs="Times New Roman"/>
          <w:lang w:val="en-US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</w:rPr>
        <w:t xml:space="preserve"> CONSELHO NACIONAL DE JUSTIÇA (CNJ). 5ª Sessão Ordinária de 2026. 14 de abril (Manhã). YouTube, 14 abr. 2026. Disponível em: https://www.youtube.com/watch?v=XlCuBj0RiSk&amp;list=PLlJgviu9EmVLi_LGJt-3YOylVF09uztuX&amp;index=10&amp;t=6640s. </w:t>
      </w:r>
      <w:r w:rsidRPr="0090496F">
        <w:rPr>
          <w:rFonts w:ascii="Times New Roman" w:hAnsi="Times New Roman" w:cs="Times New Roman"/>
          <w:lang w:val="en-US"/>
        </w:rPr>
        <w:t>Acesso em: 28 maio 2026.</w:t>
      </w:r>
    </w:p>
  </w:footnote>
  <w:footnote w:id="9">
    <w:p w14:paraId="0963D3BD" w14:textId="35E9532F" w:rsidR="00600561" w:rsidRPr="00CB76F8" w:rsidRDefault="00600561" w:rsidP="00CB76F8">
      <w:pPr>
        <w:pStyle w:val="Textodenotaderodap"/>
        <w:jc w:val="both"/>
        <w:rPr>
          <w:rFonts w:ascii="Times New Roman" w:hAnsi="Times New Roman" w:cs="Times New Roman"/>
          <w:lang w:val="en-US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  <w:lang w:val="en-US"/>
        </w:rPr>
        <w:t xml:space="preserve"> </w:t>
      </w:r>
      <w:r w:rsidR="00161461" w:rsidRPr="00CB76F8">
        <w:rPr>
          <w:rFonts w:ascii="Times New Roman" w:hAnsi="Times New Roman" w:cs="Times New Roman"/>
          <w:lang w:val="en-US"/>
        </w:rPr>
        <w:t>HERMAN</w:t>
      </w:r>
      <w:r w:rsidR="009F0FB1" w:rsidRPr="00CB76F8">
        <w:rPr>
          <w:rFonts w:ascii="Times New Roman" w:hAnsi="Times New Roman" w:cs="Times New Roman"/>
          <w:lang w:val="en-US"/>
        </w:rPr>
        <w:t xml:space="preserve">, Judith Lewis. </w:t>
      </w:r>
      <w:r w:rsidR="009F0FB1" w:rsidRPr="00CB76F8">
        <w:rPr>
          <w:rFonts w:ascii="Times New Roman" w:hAnsi="Times New Roman" w:cs="Times New Roman"/>
          <w:i/>
          <w:iCs/>
          <w:lang w:val="en-US"/>
        </w:rPr>
        <w:t>Trauma and recovery</w:t>
      </w:r>
      <w:r w:rsidR="003E2016" w:rsidRPr="00CB76F8">
        <w:rPr>
          <w:rFonts w:ascii="Times New Roman" w:hAnsi="Times New Roman" w:cs="Times New Roman"/>
          <w:lang w:val="en-US"/>
        </w:rPr>
        <w:t>: the aftermath of violence - from domestic abuse to political terror.</w:t>
      </w:r>
      <w:r w:rsidR="00161461" w:rsidRPr="00CB76F8">
        <w:rPr>
          <w:rFonts w:ascii="Times New Roman" w:hAnsi="Times New Roman" w:cs="Times New Roman"/>
          <w:lang w:val="en-US"/>
        </w:rPr>
        <w:t xml:space="preserve"> London: Basic Books, 1992, p. </w:t>
      </w:r>
      <w:r w:rsidR="0036363C" w:rsidRPr="00CB76F8">
        <w:rPr>
          <w:rFonts w:ascii="Times New Roman" w:hAnsi="Times New Roman" w:cs="Times New Roman"/>
          <w:lang w:val="en-US"/>
        </w:rPr>
        <w:t>44.</w:t>
      </w:r>
    </w:p>
  </w:footnote>
  <w:footnote w:id="10">
    <w:p w14:paraId="327E9B36" w14:textId="67D4AF76" w:rsidR="007F3EAD" w:rsidRPr="00CB76F8" w:rsidRDefault="007F3EAD" w:rsidP="00CB76F8">
      <w:pPr>
        <w:pStyle w:val="Textodenotaderodap"/>
        <w:jc w:val="both"/>
        <w:rPr>
          <w:rFonts w:ascii="Times New Roman" w:hAnsi="Times New Roman" w:cs="Times New Roman"/>
          <w:lang w:val="en-US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  <w:lang w:val="en-US"/>
        </w:rPr>
        <w:t xml:space="preserve"> HERMAN, Judith Lewis. </w:t>
      </w:r>
      <w:r w:rsidRPr="00CB76F8">
        <w:rPr>
          <w:rFonts w:ascii="Times New Roman" w:hAnsi="Times New Roman" w:cs="Times New Roman"/>
          <w:i/>
          <w:iCs/>
          <w:lang w:val="en-US"/>
        </w:rPr>
        <w:t>Trauma and recovery</w:t>
      </w:r>
      <w:r w:rsidRPr="00CB76F8">
        <w:rPr>
          <w:rFonts w:ascii="Times New Roman" w:hAnsi="Times New Roman" w:cs="Times New Roman"/>
          <w:lang w:val="en-US"/>
        </w:rPr>
        <w:t>: the aftermath of violence - from domestic abuse to political terror. London: Basic Books, 1992, p. 44.</w:t>
      </w:r>
    </w:p>
  </w:footnote>
  <w:footnote w:id="11">
    <w:p w14:paraId="35B55B74" w14:textId="67207928" w:rsidR="007F3EAD" w:rsidRPr="0090496F" w:rsidRDefault="007F3EAD" w:rsidP="00CB76F8">
      <w:pPr>
        <w:pStyle w:val="Textodenotaderodap"/>
        <w:jc w:val="both"/>
        <w:rPr>
          <w:rFonts w:ascii="Times New Roman" w:hAnsi="Times New Roman" w:cs="Times New Roman"/>
          <w:lang w:val="en-US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  <w:lang w:val="en-US"/>
        </w:rPr>
        <w:t xml:space="preserve"> HERMAN, Judith Lewis. </w:t>
      </w:r>
      <w:r w:rsidRPr="00CB76F8">
        <w:rPr>
          <w:rFonts w:ascii="Times New Roman" w:hAnsi="Times New Roman" w:cs="Times New Roman"/>
          <w:i/>
          <w:iCs/>
          <w:lang w:val="en-US"/>
        </w:rPr>
        <w:t>Trauma and recovery</w:t>
      </w:r>
      <w:r w:rsidRPr="00CB76F8">
        <w:rPr>
          <w:rFonts w:ascii="Times New Roman" w:hAnsi="Times New Roman" w:cs="Times New Roman"/>
          <w:lang w:val="en-US"/>
        </w:rPr>
        <w:t>: the aftermath of violence - from domestic abuse to political terror. London: Basic Books, 1992, p. 44.</w:t>
      </w:r>
    </w:p>
  </w:footnote>
  <w:footnote w:id="12">
    <w:p w14:paraId="77A2ABBE" w14:textId="19D550AD" w:rsidR="0006426F" w:rsidRPr="00CB76F8" w:rsidRDefault="0006426F" w:rsidP="00CB76F8">
      <w:pPr>
        <w:pStyle w:val="Textodenotaderodap"/>
        <w:jc w:val="both"/>
        <w:rPr>
          <w:rFonts w:ascii="Times New Roman" w:hAnsi="Times New Roman" w:cs="Times New Roman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  <w:lang w:val="en-US"/>
        </w:rPr>
        <w:t xml:space="preserve"> </w:t>
      </w:r>
      <w:r w:rsidR="000A67C4" w:rsidRPr="00CB76F8">
        <w:rPr>
          <w:rFonts w:ascii="Times New Roman" w:hAnsi="Times New Roman" w:cs="Times New Roman"/>
          <w:lang w:val="en-US"/>
        </w:rPr>
        <w:t xml:space="preserve">MENDES, Gilmar Ferreira. </w:t>
      </w:r>
      <w:r w:rsidR="003524EB" w:rsidRPr="0090496F">
        <w:rPr>
          <w:rFonts w:ascii="Times New Roman" w:hAnsi="Times New Roman" w:cs="Times New Roman"/>
          <w:i/>
          <w:iCs/>
          <w:lang w:val="en-US"/>
        </w:rPr>
        <w:t>Art. 5º, inciso LIV</w:t>
      </w:r>
      <w:r w:rsidR="003524EB" w:rsidRPr="0090496F">
        <w:rPr>
          <w:rFonts w:ascii="Times New Roman" w:hAnsi="Times New Roman" w:cs="Times New Roman"/>
          <w:lang w:val="en-US"/>
        </w:rPr>
        <w:t xml:space="preserve">. </w:t>
      </w:r>
      <w:r w:rsidR="009A2B97" w:rsidRPr="00CB76F8">
        <w:rPr>
          <w:rFonts w:ascii="Times New Roman" w:hAnsi="Times New Roman" w:cs="Times New Roman"/>
          <w:i/>
          <w:iCs/>
          <w:color w:val="000000" w:themeColor="text1"/>
        </w:rPr>
        <w:t>In</w:t>
      </w:r>
      <w:r w:rsidR="009A2B97" w:rsidRPr="00CB76F8">
        <w:rPr>
          <w:rFonts w:ascii="Times New Roman" w:hAnsi="Times New Roman" w:cs="Times New Roman"/>
          <w:color w:val="000000" w:themeColor="text1"/>
        </w:rPr>
        <w:t xml:space="preserve">: CANOTILHO, José Joaquim Gomes; LEONCY, Léo Ferreira (Coords.). </w:t>
      </w:r>
      <w:r w:rsidR="009A2B97" w:rsidRPr="00CB76F8">
        <w:rPr>
          <w:rFonts w:ascii="Times New Roman" w:hAnsi="Times New Roman" w:cs="Times New Roman"/>
          <w:i/>
          <w:iCs/>
          <w:color w:val="000000" w:themeColor="text1"/>
        </w:rPr>
        <w:t>Comentários à constituição do Brasil</w:t>
      </w:r>
      <w:r w:rsidR="009A2B97" w:rsidRPr="00CB76F8">
        <w:rPr>
          <w:rFonts w:ascii="Times New Roman" w:hAnsi="Times New Roman" w:cs="Times New Roman"/>
          <w:color w:val="000000" w:themeColor="text1"/>
        </w:rPr>
        <w:t xml:space="preserve">. São Paulo: Saraiva, 2018, p. </w:t>
      </w:r>
      <w:r w:rsidRPr="00CB76F8">
        <w:rPr>
          <w:rFonts w:ascii="Times New Roman" w:hAnsi="Times New Roman" w:cs="Times New Roman"/>
        </w:rPr>
        <w:t>463</w:t>
      </w:r>
      <w:r w:rsidR="009A2B97" w:rsidRPr="00CB76F8">
        <w:rPr>
          <w:rFonts w:ascii="Times New Roman" w:hAnsi="Times New Roman" w:cs="Times New Roman"/>
        </w:rPr>
        <w:t>.</w:t>
      </w:r>
    </w:p>
  </w:footnote>
  <w:footnote w:id="13">
    <w:p w14:paraId="4D87CDB9" w14:textId="77777777" w:rsidR="00E756C9" w:rsidRPr="00CB76F8" w:rsidRDefault="00E756C9" w:rsidP="00CB76F8">
      <w:pPr>
        <w:pStyle w:val="Textodenotaderodap"/>
        <w:jc w:val="both"/>
        <w:rPr>
          <w:rFonts w:ascii="Times New Roman" w:hAnsi="Times New Roman" w:cs="Times New Roman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</w:rPr>
        <w:t xml:space="preserve"> ABBOUD, Georges. </w:t>
      </w:r>
      <w:r w:rsidRPr="00CB76F8">
        <w:rPr>
          <w:rFonts w:ascii="Times New Roman" w:hAnsi="Times New Roman" w:cs="Times New Roman"/>
          <w:i/>
          <w:iCs/>
        </w:rPr>
        <w:t>Constituição Federal comentada</w:t>
      </w:r>
      <w:r w:rsidRPr="00CB76F8">
        <w:rPr>
          <w:rFonts w:ascii="Times New Roman" w:hAnsi="Times New Roman" w:cs="Times New Roman"/>
        </w:rPr>
        <w:t>. São Paulo: Thomson Reuters Brasil, 2026, p. 299.</w:t>
      </w:r>
    </w:p>
  </w:footnote>
  <w:footnote w:id="14">
    <w:p w14:paraId="317DABFA" w14:textId="2140E291" w:rsidR="009E2DE3" w:rsidRPr="00CB76F8" w:rsidRDefault="009E2DE3" w:rsidP="00CB76F8">
      <w:pPr>
        <w:pStyle w:val="Textodenotaderodap"/>
        <w:jc w:val="both"/>
        <w:rPr>
          <w:rFonts w:ascii="Times New Roman" w:hAnsi="Times New Roman" w:cs="Times New Roman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</w:rPr>
        <w:t xml:space="preserve"> </w:t>
      </w:r>
      <w:r w:rsidR="00E34116" w:rsidRPr="00CB76F8">
        <w:rPr>
          <w:rFonts w:ascii="Times New Roman" w:hAnsi="Times New Roman" w:cs="Times New Roman"/>
        </w:rPr>
        <w:t xml:space="preserve">MENDES, Gilmar Ferreira. </w:t>
      </w:r>
      <w:r w:rsidR="00E34116" w:rsidRPr="00CB76F8">
        <w:rPr>
          <w:rFonts w:ascii="Times New Roman" w:hAnsi="Times New Roman" w:cs="Times New Roman"/>
          <w:i/>
          <w:iCs/>
        </w:rPr>
        <w:t>Art. 5º, inciso LIV</w:t>
      </w:r>
      <w:r w:rsidR="00E34116" w:rsidRPr="00CB76F8">
        <w:rPr>
          <w:rFonts w:ascii="Times New Roman" w:hAnsi="Times New Roman" w:cs="Times New Roman"/>
        </w:rPr>
        <w:t xml:space="preserve">. </w:t>
      </w:r>
      <w:r w:rsidR="00E34116" w:rsidRPr="00CB76F8">
        <w:rPr>
          <w:rFonts w:ascii="Times New Roman" w:hAnsi="Times New Roman" w:cs="Times New Roman"/>
          <w:i/>
          <w:iCs/>
          <w:color w:val="000000" w:themeColor="text1"/>
        </w:rPr>
        <w:t>In</w:t>
      </w:r>
      <w:r w:rsidR="00E34116" w:rsidRPr="00CB76F8">
        <w:rPr>
          <w:rFonts w:ascii="Times New Roman" w:hAnsi="Times New Roman" w:cs="Times New Roman"/>
          <w:color w:val="000000" w:themeColor="text1"/>
        </w:rPr>
        <w:t xml:space="preserve">: CANOTILHO, José Joaquim Gomes; LEONCY, Léo Ferreira (Coords.). </w:t>
      </w:r>
      <w:r w:rsidR="00E34116" w:rsidRPr="00CB76F8">
        <w:rPr>
          <w:rFonts w:ascii="Times New Roman" w:hAnsi="Times New Roman" w:cs="Times New Roman"/>
          <w:i/>
          <w:iCs/>
          <w:color w:val="000000" w:themeColor="text1"/>
        </w:rPr>
        <w:t>Comentários à constituição do Brasil</w:t>
      </w:r>
      <w:r w:rsidR="00E34116" w:rsidRPr="00CB76F8">
        <w:rPr>
          <w:rFonts w:ascii="Times New Roman" w:hAnsi="Times New Roman" w:cs="Times New Roman"/>
          <w:color w:val="000000" w:themeColor="text1"/>
        </w:rPr>
        <w:t xml:space="preserve">. São Paulo: Saraiva, 2018, p. </w:t>
      </w:r>
      <w:r w:rsidRPr="00CB76F8">
        <w:rPr>
          <w:rFonts w:ascii="Times New Roman" w:hAnsi="Times New Roman" w:cs="Times New Roman"/>
        </w:rPr>
        <w:t>460-461</w:t>
      </w:r>
      <w:r w:rsidR="00E34116" w:rsidRPr="00CB76F8">
        <w:rPr>
          <w:rFonts w:ascii="Times New Roman" w:hAnsi="Times New Roman" w:cs="Times New Roman"/>
        </w:rPr>
        <w:t>.</w:t>
      </w:r>
    </w:p>
  </w:footnote>
  <w:footnote w:id="15">
    <w:p w14:paraId="5C86EA8B" w14:textId="249CA599" w:rsidR="00255A6F" w:rsidRPr="00CB76F8" w:rsidRDefault="00255A6F" w:rsidP="00CB76F8">
      <w:pPr>
        <w:pStyle w:val="Textodenotaderodap"/>
        <w:jc w:val="both"/>
        <w:rPr>
          <w:rFonts w:ascii="Times New Roman" w:hAnsi="Times New Roman" w:cs="Times New Roman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</w:rPr>
        <w:t xml:space="preserve"> BADARÓ, Gustavo. </w:t>
      </w:r>
      <w:r w:rsidRPr="00CB76F8">
        <w:rPr>
          <w:rFonts w:ascii="Times New Roman" w:hAnsi="Times New Roman" w:cs="Times New Roman"/>
          <w:i/>
          <w:iCs/>
        </w:rPr>
        <w:t>Direito à prova e os limites lógicos de sua admissão</w:t>
      </w:r>
      <w:r w:rsidRPr="00CB76F8">
        <w:rPr>
          <w:rFonts w:ascii="Times New Roman" w:hAnsi="Times New Roman" w:cs="Times New Roman"/>
        </w:rPr>
        <w:t>: os conceitos de pertinência e relevância. Inédito, p. 13</w:t>
      </w:r>
      <w:r w:rsidR="00390B30" w:rsidRPr="00CB76F8">
        <w:rPr>
          <w:rFonts w:ascii="Times New Roman" w:hAnsi="Times New Roman" w:cs="Times New Roman"/>
        </w:rPr>
        <w:t>-24</w:t>
      </w:r>
      <w:r w:rsidRPr="00CB76F8">
        <w:rPr>
          <w:rFonts w:ascii="Times New Roman" w:hAnsi="Times New Roman" w:cs="Times New Roman"/>
        </w:rPr>
        <w:t>.</w:t>
      </w:r>
    </w:p>
  </w:footnote>
  <w:footnote w:id="16">
    <w:p w14:paraId="6797A879" w14:textId="511DC4B0" w:rsidR="00EC581E" w:rsidRPr="00CB76F8" w:rsidRDefault="00EC581E" w:rsidP="00CB76F8">
      <w:pPr>
        <w:pStyle w:val="Textodenotaderodap"/>
        <w:jc w:val="both"/>
        <w:rPr>
          <w:rFonts w:ascii="Times New Roman" w:hAnsi="Times New Roman" w:cs="Times New Roman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</w:rPr>
        <w:t xml:space="preserve"> Especialmente nesse ponto, invoca-se o §1º do artigo 400 do CPP, que dispõe sobre a possibilidade de vedação, por parte do juiz, de provas impertinentes, irrelevantes ou meramente protelatórias.</w:t>
      </w:r>
    </w:p>
  </w:footnote>
  <w:footnote w:id="17">
    <w:p w14:paraId="400B802C" w14:textId="58E3C84D" w:rsidR="008E686C" w:rsidRPr="00CB76F8" w:rsidRDefault="008E686C" w:rsidP="00CB76F8">
      <w:pPr>
        <w:pStyle w:val="Textodenotaderodap"/>
        <w:jc w:val="both"/>
        <w:rPr>
          <w:rFonts w:ascii="Times New Roman" w:hAnsi="Times New Roman" w:cs="Times New Roman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</w:rPr>
        <w:t xml:space="preserve"> </w:t>
      </w:r>
      <w:r w:rsidR="00CE05DD" w:rsidRPr="00CB76F8">
        <w:rPr>
          <w:rFonts w:ascii="Times New Roman" w:hAnsi="Times New Roman" w:cs="Times New Roman"/>
        </w:rPr>
        <w:t xml:space="preserve">De acordo com o artigo 103-B, §4º, inciso I da Constituição Federal, </w:t>
      </w:r>
      <w:r w:rsidR="00613E80" w:rsidRPr="00CB76F8">
        <w:rPr>
          <w:rFonts w:ascii="Times New Roman" w:hAnsi="Times New Roman" w:cs="Times New Roman"/>
        </w:rPr>
        <w:t>compete ao CNJ o controle da atuação administrativa e financeira do Poder Judiciário e do cumprimento dos deveres funcionais dos juízes, inclusive zelar pela autonomia do Poder Judiciário e pelo cumprimento do Estatuto da Magistratura, podendo expedir atos regulamentares, no âmbito de sua competência, ou recomendar providências</w:t>
      </w:r>
      <w:r w:rsidR="00530412" w:rsidRPr="00CB76F8">
        <w:rPr>
          <w:rFonts w:ascii="Times New Roman" w:hAnsi="Times New Roman" w:cs="Times New Roman"/>
        </w:rPr>
        <w:t>.</w:t>
      </w:r>
    </w:p>
  </w:footnote>
  <w:footnote w:id="18">
    <w:p w14:paraId="1757A471" w14:textId="54F89034" w:rsidR="003C2902" w:rsidRPr="00CB76F8" w:rsidRDefault="003C2902" w:rsidP="00CB76F8">
      <w:pPr>
        <w:pStyle w:val="Textodenotaderodap"/>
        <w:jc w:val="both"/>
        <w:rPr>
          <w:rFonts w:ascii="Times New Roman" w:hAnsi="Times New Roman" w:cs="Times New Roman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</w:rPr>
        <w:t xml:space="preserve"> </w:t>
      </w:r>
      <w:r w:rsidR="00953EE2" w:rsidRPr="00CB76F8">
        <w:rPr>
          <w:rFonts w:ascii="Times New Roman" w:hAnsi="Times New Roman" w:cs="Times New Roman"/>
        </w:rPr>
        <w:t xml:space="preserve">BRASIL. </w:t>
      </w:r>
      <w:r w:rsidR="00953EE2" w:rsidRPr="00CB76F8">
        <w:rPr>
          <w:rFonts w:ascii="Times New Roman" w:hAnsi="Times New Roman" w:cs="Times New Roman"/>
          <w:i/>
          <w:iCs/>
        </w:rPr>
        <w:t>Lei n. 14.245, de 22 de novembro de 2021</w:t>
      </w:r>
      <w:r w:rsidR="00953EE2" w:rsidRPr="00CB76F8">
        <w:rPr>
          <w:rFonts w:ascii="Times New Roman" w:hAnsi="Times New Roman" w:cs="Times New Roman"/>
        </w:rPr>
        <w:t>. Altera o Decreto-Lei n. 3.689, de 3 de outubro de 1941 (Código de Processo Penal), para coibir a prática de atos atentatórios à dignidade da vítima e de testemunhas. Diário Oficial da União, Brasília, DF, 23 nov. 2021.</w:t>
      </w:r>
    </w:p>
  </w:footnote>
  <w:footnote w:id="19">
    <w:p w14:paraId="234B014E" w14:textId="23F248C8" w:rsidR="0038407F" w:rsidRPr="00CB76F8" w:rsidRDefault="0038407F" w:rsidP="00CB76F8">
      <w:pPr>
        <w:pStyle w:val="Textodenotaderodap"/>
        <w:jc w:val="both"/>
        <w:rPr>
          <w:rFonts w:ascii="Times New Roman" w:hAnsi="Times New Roman" w:cs="Times New Roman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</w:rPr>
        <w:t xml:space="preserve"> SANTOS, Celeste Leite dos; FELICIANO, Guilherme Guimarães; FERREIRA, Mariana Borges Ferrer. </w:t>
      </w:r>
      <w:r w:rsidR="00FA01B1" w:rsidRPr="0097554A">
        <w:rPr>
          <w:rFonts w:ascii="Times New Roman" w:hAnsi="Times New Roman" w:cs="Times New Roman"/>
        </w:rPr>
        <w:t>Habeas corpus em favor da vítima de crimes sexuais</w:t>
      </w:r>
      <w:r w:rsidR="00FA01B1" w:rsidRPr="00CB76F8">
        <w:rPr>
          <w:rFonts w:ascii="Times New Roman" w:hAnsi="Times New Roman" w:cs="Times New Roman"/>
        </w:rPr>
        <w:t>: legitimidade do Ministério Público e do assistente de acusação na tutela da dignidade humana, da imparcialidade judicial e do devido processo legal</w:t>
      </w:r>
      <w:r w:rsidR="00FA01B1" w:rsidRPr="0097554A">
        <w:rPr>
          <w:rFonts w:ascii="Times New Roman" w:hAnsi="Times New Roman" w:cs="Times New Roman"/>
          <w:i/>
          <w:iCs/>
        </w:rPr>
        <w:t>. Revista Internacional de Vitimologia e Justiça Restaurativa, v. 4</w:t>
      </w:r>
      <w:r w:rsidR="00FA01B1" w:rsidRPr="00CB76F8">
        <w:rPr>
          <w:rFonts w:ascii="Times New Roman" w:hAnsi="Times New Roman" w:cs="Times New Roman"/>
        </w:rPr>
        <w:t>, n.1, 2026, p. 116-117.</w:t>
      </w:r>
    </w:p>
  </w:footnote>
  <w:footnote w:id="20">
    <w:p w14:paraId="67EEF829" w14:textId="77777777" w:rsidR="001626B2" w:rsidRPr="00CB76F8" w:rsidRDefault="001626B2" w:rsidP="00CB76F8">
      <w:pPr>
        <w:pStyle w:val="Textodenotaderodap"/>
        <w:jc w:val="both"/>
        <w:rPr>
          <w:rFonts w:ascii="Times New Roman" w:hAnsi="Times New Roman" w:cs="Times New Roman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</w:rPr>
        <w:t xml:space="preserve"> BRASIL. Conselho Nacional de Justiça (CNJ). </w:t>
      </w:r>
      <w:r w:rsidRPr="00CB76F8">
        <w:rPr>
          <w:rFonts w:ascii="Times New Roman" w:hAnsi="Times New Roman" w:cs="Times New Roman"/>
          <w:i/>
          <w:iCs/>
        </w:rPr>
        <w:t>Assédio e discriminação no âmbito do Poder Judiciário</w:t>
      </w:r>
      <w:r w:rsidRPr="00CB76F8">
        <w:rPr>
          <w:rFonts w:ascii="Times New Roman" w:hAnsi="Times New Roman" w:cs="Times New Roman"/>
        </w:rPr>
        <w:t>: 2ª pesquisa nacional. Brasília: CNJ, 2023, p. 67. Disponível em: https://www.cnj.jus.br/wp-content/uploads/2024/08/2-a-pesquisa-nacional-assedio-e-discriminacao-no-ambito-do-poder-judiciario-020523-cnj.pdf. Acesso em: 28 maio 2026.</w:t>
      </w:r>
    </w:p>
  </w:footnote>
  <w:footnote w:id="21">
    <w:p w14:paraId="307B6C74" w14:textId="6052ABCE" w:rsidR="00532D98" w:rsidRPr="00CB76F8" w:rsidRDefault="00532D98" w:rsidP="00CB76F8">
      <w:pPr>
        <w:pStyle w:val="Textodenotaderodap"/>
        <w:jc w:val="both"/>
        <w:rPr>
          <w:rFonts w:ascii="Times New Roman" w:hAnsi="Times New Roman" w:cs="Times New Roman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Pr="00CB76F8">
        <w:rPr>
          <w:rFonts w:ascii="Times New Roman" w:hAnsi="Times New Roman" w:cs="Times New Roman"/>
        </w:rPr>
        <w:t xml:space="preserve"> </w:t>
      </w:r>
      <w:r w:rsidR="00EE57F5" w:rsidRPr="00CB76F8">
        <w:rPr>
          <w:rFonts w:ascii="Times New Roman" w:hAnsi="Times New Roman" w:cs="Times New Roman"/>
        </w:rPr>
        <w:t xml:space="preserve">BRASIL. Conselho Nacional de Justiça (CNJ). </w:t>
      </w:r>
      <w:r w:rsidR="00EE57F5" w:rsidRPr="00CB76F8">
        <w:rPr>
          <w:rFonts w:ascii="Times New Roman" w:hAnsi="Times New Roman" w:cs="Times New Roman"/>
          <w:i/>
          <w:iCs/>
        </w:rPr>
        <w:t>Resolução Nº 351 de 28/10/2020</w:t>
      </w:r>
      <w:r w:rsidR="00EE57F5" w:rsidRPr="00CB76F8">
        <w:rPr>
          <w:rFonts w:ascii="Times New Roman" w:hAnsi="Times New Roman" w:cs="Times New Roman"/>
        </w:rPr>
        <w:t xml:space="preserve">. </w:t>
      </w:r>
      <w:r w:rsidR="00B71B4D" w:rsidRPr="00CB76F8">
        <w:rPr>
          <w:rFonts w:ascii="Times New Roman" w:hAnsi="Times New Roman" w:cs="Times New Roman"/>
        </w:rPr>
        <w:t>DJe/CNJ nº 349/2020, de 29 de outubro de 2020, p. 15-21. Disponível em: https://atos.cnj.jus.br/atos/detalhar/3557. Acesso em: 28 maio 2026.</w:t>
      </w:r>
    </w:p>
  </w:footnote>
  <w:footnote w:id="22">
    <w:p w14:paraId="7FF2D6B7" w14:textId="2C21B313" w:rsidR="00EF2B0A" w:rsidRPr="00CB76F8" w:rsidRDefault="00EF2B0A" w:rsidP="00CB76F8">
      <w:pPr>
        <w:pStyle w:val="Textodenotaderodap"/>
        <w:jc w:val="both"/>
        <w:rPr>
          <w:rFonts w:ascii="Times New Roman" w:hAnsi="Times New Roman" w:cs="Times New Roman"/>
        </w:rPr>
      </w:pPr>
      <w:r w:rsidRPr="00CB76F8">
        <w:rPr>
          <w:rStyle w:val="Refdenotaderodap"/>
          <w:rFonts w:ascii="Times New Roman" w:hAnsi="Times New Roman" w:cs="Times New Roman"/>
        </w:rPr>
        <w:footnoteRef/>
      </w:r>
      <w:r w:rsidR="00DC3EEB" w:rsidRPr="00CB76F8">
        <w:rPr>
          <w:rFonts w:ascii="Times New Roman" w:hAnsi="Times New Roman" w:cs="Times New Roman"/>
        </w:rPr>
        <w:t xml:space="preserve"> BRASIL.</w:t>
      </w:r>
      <w:r w:rsidRPr="00CB76F8">
        <w:rPr>
          <w:rFonts w:ascii="Times New Roman" w:hAnsi="Times New Roman" w:cs="Times New Roman"/>
        </w:rPr>
        <w:t xml:space="preserve"> </w:t>
      </w:r>
      <w:r w:rsidR="00DC3EEB" w:rsidRPr="00CB76F8">
        <w:rPr>
          <w:rFonts w:ascii="Times New Roman" w:hAnsi="Times New Roman" w:cs="Times New Roman"/>
        </w:rPr>
        <w:t xml:space="preserve">Conselho Nacional de Justiça (CNJ). </w:t>
      </w:r>
      <w:r w:rsidR="00DC3EEB" w:rsidRPr="00CB76F8">
        <w:rPr>
          <w:rFonts w:ascii="Times New Roman" w:hAnsi="Times New Roman" w:cs="Times New Roman"/>
          <w:i/>
          <w:iCs/>
        </w:rPr>
        <w:t>Assédio e discriminação no âmbito do Poder Judiciário</w:t>
      </w:r>
      <w:r w:rsidR="00DC3EEB" w:rsidRPr="00CB76F8">
        <w:rPr>
          <w:rFonts w:ascii="Times New Roman" w:hAnsi="Times New Roman" w:cs="Times New Roman"/>
        </w:rPr>
        <w:t xml:space="preserve">: 2ª pesquisa nacional. Brasília: CNJ, 2023, p. 67. Disponível em: </w:t>
      </w:r>
      <w:r w:rsidR="00984246" w:rsidRPr="00CB76F8">
        <w:rPr>
          <w:rFonts w:ascii="Times New Roman" w:hAnsi="Times New Roman" w:cs="Times New Roman"/>
        </w:rPr>
        <w:t>https://www.cnj.jus.br/wp-content/uploads/2024/08/2-a-pesquisa-nacional-assedio-e-discriminacao-no-ambito-do-poder-judiciario-020523-cnj.pdf. Acesso em: 28 maio 2026.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E61FCA"/>
    <w:multiLevelType w:val="hybridMultilevel"/>
    <w:tmpl w:val="E0DA934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3981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F13"/>
    <w:rsid w:val="000007B4"/>
    <w:rsid w:val="00022682"/>
    <w:rsid w:val="00034C91"/>
    <w:rsid w:val="00050D8E"/>
    <w:rsid w:val="00054556"/>
    <w:rsid w:val="00056472"/>
    <w:rsid w:val="00061B29"/>
    <w:rsid w:val="0006426F"/>
    <w:rsid w:val="00080C73"/>
    <w:rsid w:val="000827F2"/>
    <w:rsid w:val="00083638"/>
    <w:rsid w:val="00092F9F"/>
    <w:rsid w:val="0009517C"/>
    <w:rsid w:val="000A25B1"/>
    <w:rsid w:val="000A67C4"/>
    <w:rsid w:val="000B5155"/>
    <w:rsid w:val="000B5AD7"/>
    <w:rsid w:val="000D7FED"/>
    <w:rsid w:val="000F6D41"/>
    <w:rsid w:val="00100C8F"/>
    <w:rsid w:val="0010747A"/>
    <w:rsid w:val="00112D2D"/>
    <w:rsid w:val="00117739"/>
    <w:rsid w:val="001264E5"/>
    <w:rsid w:val="00131E88"/>
    <w:rsid w:val="0013449F"/>
    <w:rsid w:val="001412B5"/>
    <w:rsid w:val="00156CF5"/>
    <w:rsid w:val="00161461"/>
    <w:rsid w:val="001626B2"/>
    <w:rsid w:val="001673E7"/>
    <w:rsid w:val="001A18A4"/>
    <w:rsid w:val="001A35A6"/>
    <w:rsid w:val="001B18EE"/>
    <w:rsid w:val="001C05BE"/>
    <w:rsid w:val="001C5822"/>
    <w:rsid w:val="001C7CB5"/>
    <w:rsid w:val="001D0E46"/>
    <w:rsid w:val="001E14CC"/>
    <w:rsid w:val="001E2198"/>
    <w:rsid w:val="001F71BB"/>
    <w:rsid w:val="002002A5"/>
    <w:rsid w:val="00204BCF"/>
    <w:rsid w:val="00207D5F"/>
    <w:rsid w:val="00222FE4"/>
    <w:rsid w:val="00242DED"/>
    <w:rsid w:val="00252297"/>
    <w:rsid w:val="00255A6F"/>
    <w:rsid w:val="00265169"/>
    <w:rsid w:val="00273225"/>
    <w:rsid w:val="002C1C78"/>
    <w:rsid w:val="002D0B17"/>
    <w:rsid w:val="002D36B2"/>
    <w:rsid w:val="002D4704"/>
    <w:rsid w:val="002D5C0F"/>
    <w:rsid w:val="002D696A"/>
    <w:rsid w:val="002D6E2E"/>
    <w:rsid w:val="002E2AAF"/>
    <w:rsid w:val="002E3219"/>
    <w:rsid w:val="002E690E"/>
    <w:rsid w:val="002E6E0F"/>
    <w:rsid w:val="00302A70"/>
    <w:rsid w:val="0031004C"/>
    <w:rsid w:val="00311AF9"/>
    <w:rsid w:val="0031791C"/>
    <w:rsid w:val="00317DE4"/>
    <w:rsid w:val="003224A1"/>
    <w:rsid w:val="00322DD2"/>
    <w:rsid w:val="00331753"/>
    <w:rsid w:val="00336FC7"/>
    <w:rsid w:val="00344842"/>
    <w:rsid w:val="003524EB"/>
    <w:rsid w:val="0036363C"/>
    <w:rsid w:val="00364309"/>
    <w:rsid w:val="00364D38"/>
    <w:rsid w:val="0037107F"/>
    <w:rsid w:val="003826EB"/>
    <w:rsid w:val="0038407F"/>
    <w:rsid w:val="00390B30"/>
    <w:rsid w:val="003919D0"/>
    <w:rsid w:val="00392E5A"/>
    <w:rsid w:val="003A69ED"/>
    <w:rsid w:val="003A6D7A"/>
    <w:rsid w:val="003A72BD"/>
    <w:rsid w:val="003B7ABE"/>
    <w:rsid w:val="003C2902"/>
    <w:rsid w:val="003D0790"/>
    <w:rsid w:val="003E2016"/>
    <w:rsid w:val="003F2B42"/>
    <w:rsid w:val="0040188C"/>
    <w:rsid w:val="00403808"/>
    <w:rsid w:val="004044D7"/>
    <w:rsid w:val="00412E3E"/>
    <w:rsid w:val="00413D87"/>
    <w:rsid w:val="00422447"/>
    <w:rsid w:val="00427D9D"/>
    <w:rsid w:val="0043025B"/>
    <w:rsid w:val="00442FB1"/>
    <w:rsid w:val="0044382E"/>
    <w:rsid w:val="00444896"/>
    <w:rsid w:val="00453808"/>
    <w:rsid w:val="004767FE"/>
    <w:rsid w:val="004778CA"/>
    <w:rsid w:val="004816ED"/>
    <w:rsid w:val="00482AC6"/>
    <w:rsid w:val="004843B5"/>
    <w:rsid w:val="0049064A"/>
    <w:rsid w:val="004A2CBF"/>
    <w:rsid w:val="004A7FF5"/>
    <w:rsid w:val="004C4A13"/>
    <w:rsid w:val="004C658F"/>
    <w:rsid w:val="004D06FA"/>
    <w:rsid w:val="004D2834"/>
    <w:rsid w:val="004D55EF"/>
    <w:rsid w:val="004D7D70"/>
    <w:rsid w:val="004E7930"/>
    <w:rsid w:val="004F6B82"/>
    <w:rsid w:val="005042B6"/>
    <w:rsid w:val="005061EC"/>
    <w:rsid w:val="005143AB"/>
    <w:rsid w:val="005151BC"/>
    <w:rsid w:val="00530412"/>
    <w:rsid w:val="00532D98"/>
    <w:rsid w:val="0053591B"/>
    <w:rsid w:val="0054059F"/>
    <w:rsid w:val="00566BD8"/>
    <w:rsid w:val="00571DBA"/>
    <w:rsid w:val="0057440C"/>
    <w:rsid w:val="00576FF8"/>
    <w:rsid w:val="00596F13"/>
    <w:rsid w:val="005A158A"/>
    <w:rsid w:val="005A4AC6"/>
    <w:rsid w:val="005A5FDA"/>
    <w:rsid w:val="005A6733"/>
    <w:rsid w:val="005B4566"/>
    <w:rsid w:val="005C47D0"/>
    <w:rsid w:val="005D3B5D"/>
    <w:rsid w:val="005F1867"/>
    <w:rsid w:val="005F79D5"/>
    <w:rsid w:val="00600561"/>
    <w:rsid w:val="0060292F"/>
    <w:rsid w:val="00604BCA"/>
    <w:rsid w:val="00613E80"/>
    <w:rsid w:val="006332C5"/>
    <w:rsid w:val="00645470"/>
    <w:rsid w:val="00660630"/>
    <w:rsid w:val="006617B3"/>
    <w:rsid w:val="00663D28"/>
    <w:rsid w:val="00673A8A"/>
    <w:rsid w:val="006769BA"/>
    <w:rsid w:val="00684B53"/>
    <w:rsid w:val="00696708"/>
    <w:rsid w:val="006A6C86"/>
    <w:rsid w:val="006B0FED"/>
    <w:rsid w:val="006B5A3B"/>
    <w:rsid w:val="006C0934"/>
    <w:rsid w:val="006C698E"/>
    <w:rsid w:val="006D57B0"/>
    <w:rsid w:val="006E0D3B"/>
    <w:rsid w:val="006E7644"/>
    <w:rsid w:val="006F2048"/>
    <w:rsid w:val="0070049D"/>
    <w:rsid w:val="00702532"/>
    <w:rsid w:val="007149DB"/>
    <w:rsid w:val="00716C61"/>
    <w:rsid w:val="00731CFA"/>
    <w:rsid w:val="00732D83"/>
    <w:rsid w:val="00740C0A"/>
    <w:rsid w:val="0074408C"/>
    <w:rsid w:val="00757C32"/>
    <w:rsid w:val="007767FE"/>
    <w:rsid w:val="007805BE"/>
    <w:rsid w:val="00792316"/>
    <w:rsid w:val="007A6164"/>
    <w:rsid w:val="007C5A9F"/>
    <w:rsid w:val="007E6F23"/>
    <w:rsid w:val="007F35BF"/>
    <w:rsid w:val="007F3EAD"/>
    <w:rsid w:val="007F7807"/>
    <w:rsid w:val="00800ED0"/>
    <w:rsid w:val="008037E3"/>
    <w:rsid w:val="008047CE"/>
    <w:rsid w:val="00810027"/>
    <w:rsid w:val="00810623"/>
    <w:rsid w:val="008149AC"/>
    <w:rsid w:val="00827151"/>
    <w:rsid w:val="00834565"/>
    <w:rsid w:val="008556D1"/>
    <w:rsid w:val="008651A6"/>
    <w:rsid w:val="008705FC"/>
    <w:rsid w:val="008831A3"/>
    <w:rsid w:val="008907C3"/>
    <w:rsid w:val="00891FAA"/>
    <w:rsid w:val="00896360"/>
    <w:rsid w:val="008A7BE1"/>
    <w:rsid w:val="008C76D5"/>
    <w:rsid w:val="008C7CD0"/>
    <w:rsid w:val="008D51E6"/>
    <w:rsid w:val="008E1889"/>
    <w:rsid w:val="008E2DEC"/>
    <w:rsid w:val="008E686C"/>
    <w:rsid w:val="008F2493"/>
    <w:rsid w:val="008F2A62"/>
    <w:rsid w:val="009011A7"/>
    <w:rsid w:val="00901AF3"/>
    <w:rsid w:val="00901D84"/>
    <w:rsid w:val="0090450D"/>
    <w:rsid w:val="0090496F"/>
    <w:rsid w:val="00910516"/>
    <w:rsid w:val="00927443"/>
    <w:rsid w:val="00936F0F"/>
    <w:rsid w:val="00944815"/>
    <w:rsid w:val="00953877"/>
    <w:rsid w:val="00953EE2"/>
    <w:rsid w:val="0095527F"/>
    <w:rsid w:val="00963E73"/>
    <w:rsid w:val="0096615B"/>
    <w:rsid w:val="0097194F"/>
    <w:rsid w:val="00972230"/>
    <w:rsid w:val="0097465E"/>
    <w:rsid w:val="0097554A"/>
    <w:rsid w:val="00983953"/>
    <w:rsid w:val="00983B9B"/>
    <w:rsid w:val="00984246"/>
    <w:rsid w:val="009A2B97"/>
    <w:rsid w:val="009A40FC"/>
    <w:rsid w:val="009A59A8"/>
    <w:rsid w:val="009A7F3A"/>
    <w:rsid w:val="009B5E32"/>
    <w:rsid w:val="009C5317"/>
    <w:rsid w:val="009D17C3"/>
    <w:rsid w:val="009D31DF"/>
    <w:rsid w:val="009E250E"/>
    <w:rsid w:val="009E2DE3"/>
    <w:rsid w:val="009E4E07"/>
    <w:rsid w:val="009E53D5"/>
    <w:rsid w:val="009F0FB1"/>
    <w:rsid w:val="009F5F49"/>
    <w:rsid w:val="009F6C19"/>
    <w:rsid w:val="00A00129"/>
    <w:rsid w:val="00A07B1E"/>
    <w:rsid w:val="00A129EF"/>
    <w:rsid w:val="00A13995"/>
    <w:rsid w:val="00A1696D"/>
    <w:rsid w:val="00A24EA5"/>
    <w:rsid w:val="00A27F0B"/>
    <w:rsid w:val="00A3029E"/>
    <w:rsid w:val="00A34F44"/>
    <w:rsid w:val="00A36AC4"/>
    <w:rsid w:val="00A374E7"/>
    <w:rsid w:val="00A46908"/>
    <w:rsid w:val="00A567C1"/>
    <w:rsid w:val="00A57AE8"/>
    <w:rsid w:val="00A664F5"/>
    <w:rsid w:val="00A721DD"/>
    <w:rsid w:val="00A77662"/>
    <w:rsid w:val="00A8076D"/>
    <w:rsid w:val="00A80949"/>
    <w:rsid w:val="00AA5372"/>
    <w:rsid w:val="00AB124B"/>
    <w:rsid w:val="00AB7500"/>
    <w:rsid w:val="00AC2666"/>
    <w:rsid w:val="00AC4D53"/>
    <w:rsid w:val="00AD2864"/>
    <w:rsid w:val="00AE3768"/>
    <w:rsid w:val="00B000A9"/>
    <w:rsid w:val="00B02F2B"/>
    <w:rsid w:val="00B17BF3"/>
    <w:rsid w:val="00B313B1"/>
    <w:rsid w:val="00B42109"/>
    <w:rsid w:val="00B51BF4"/>
    <w:rsid w:val="00B57405"/>
    <w:rsid w:val="00B6106D"/>
    <w:rsid w:val="00B6368F"/>
    <w:rsid w:val="00B71B4D"/>
    <w:rsid w:val="00B76EE1"/>
    <w:rsid w:val="00B83BCF"/>
    <w:rsid w:val="00B9493A"/>
    <w:rsid w:val="00B954AF"/>
    <w:rsid w:val="00BA2040"/>
    <w:rsid w:val="00BA7484"/>
    <w:rsid w:val="00BC4577"/>
    <w:rsid w:val="00BC4E44"/>
    <w:rsid w:val="00BD3B6C"/>
    <w:rsid w:val="00BF631A"/>
    <w:rsid w:val="00C07A57"/>
    <w:rsid w:val="00C32337"/>
    <w:rsid w:val="00C32EBF"/>
    <w:rsid w:val="00C3453D"/>
    <w:rsid w:val="00C44112"/>
    <w:rsid w:val="00C46F5C"/>
    <w:rsid w:val="00C4731B"/>
    <w:rsid w:val="00C64443"/>
    <w:rsid w:val="00C8127B"/>
    <w:rsid w:val="00C86C79"/>
    <w:rsid w:val="00C95AF6"/>
    <w:rsid w:val="00CA4C5B"/>
    <w:rsid w:val="00CB2370"/>
    <w:rsid w:val="00CB347E"/>
    <w:rsid w:val="00CB76F8"/>
    <w:rsid w:val="00CC008B"/>
    <w:rsid w:val="00CC5F0F"/>
    <w:rsid w:val="00CD12EE"/>
    <w:rsid w:val="00CD33ED"/>
    <w:rsid w:val="00CD670D"/>
    <w:rsid w:val="00CE05DD"/>
    <w:rsid w:val="00CE3BCF"/>
    <w:rsid w:val="00CE79CC"/>
    <w:rsid w:val="00CF4B4C"/>
    <w:rsid w:val="00CF7115"/>
    <w:rsid w:val="00D04801"/>
    <w:rsid w:val="00D11812"/>
    <w:rsid w:val="00D32DE0"/>
    <w:rsid w:val="00D454DE"/>
    <w:rsid w:val="00D523C4"/>
    <w:rsid w:val="00D64693"/>
    <w:rsid w:val="00D67CCD"/>
    <w:rsid w:val="00DB64BB"/>
    <w:rsid w:val="00DC3453"/>
    <w:rsid w:val="00DC3EEB"/>
    <w:rsid w:val="00DD3A30"/>
    <w:rsid w:val="00DD3C7C"/>
    <w:rsid w:val="00DE0010"/>
    <w:rsid w:val="00DF4056"/>
    <w:rsid w:val="00DF7194"/>
    <w:rsid w:val="00E05CE7"/>
    <w:rsid w:val="00E274BF"/>
    <w:rsid w:val="00E32DB2"/>
    <w:rsid w:val="00E34116"/>
    <w:rsid w:val="00E35F40"/>
    <w:rsid w:val="00E55D87"/>
    <w:rsid w:val="00E568DA"/>
    <w:rsid w:val="00E572D4"/>
    <w:rsid w:val="00E70D6F"/>
    <w:rsid w:val="00E756C9"/>
    <w:rsid w:val="00E75D86"/>
    <w:rsid w:val="00E81601"/>
    <w:rsid w:val="00E85BC7"/>
    <w:rsid w:val="00E90A6A"/>
    <w:rsid w:val="00E91E46"/>
    <w:rsid w:val="00E95617"/>
    <w:rsid w:val="00EA7231"/>
    <w:rsid w:val="00EB0D74"/>
    <w:rsid w:val="00EB6622"/>
    <w:rsid w:val="00EC3975"/>
    <w:rsid w:val="00EC581E"/>
    <w:rsid w:val="00ED4454"/>
    <w:rsid w:val="00EE23F0"/>
    <w:rsid w:val="00EE57F5"/>
    <w:rsid w:val="00EE6537"/>
    <w:rsid w:val="00EF2B0A"/>
    <w:rsid w:val="00F234E6"/>
    <w:rsid w:val="00F83046"/>
    <w:rsid w:val="00F96345"/>
    <w:rsid w:val="00FA01B1"/>
    <w:rsid w:val="00FA4053"/>
    <w:rsid w:val="00FB0D7E"/>
    <w:rsid w:val="00FC354F"/>
    <w:rsid w:val="00FE211B"/>
    <w:rsid w:val="00FF385C"/>
    <w:rsid w:val="019C4087"/>
    <w:rsid w:val="0BF1A57D"/>
    <w:rsid w:val="29F31ADD"/>
    <w:rsid w:val="372361EE"/>
    <w:rsid w:val="37DD6F16"/>
    <w:rsid w:val="40A753A9"/>
    <w:rsid w:val="4FB22281"/>
    <w:rsid w:val="55945998"/>
    <w:rsid w:val="5843F383"/>
    <w:rsid w:val="5CEC5202"/>
    <w:rsid w:val="6CC14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875A5"/>
  <w15:chartTrackingRefBased/>
  <w15:docId w15:val="{F37E2A5F-F0DA-421D-BC86-27D2C2400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96F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596F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96F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96F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96F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96F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96F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96F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96F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96F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596F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96F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96F1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96F1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96F1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96F1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96F1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96F1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96F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96F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96F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96F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96F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96F1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96F1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96F1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96F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96F1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96F13"/>
    <w:rPr>
      <w:b/>
      <w:bCs/>
      <w:smallCaps/>
      <w:color w:val="0F4761" w:themeColor="accent1" w:themeShade="BF"/>
      <w:spacing w:val="5"/>
    </w:rPr>
  </w:style>
  <w:style w:type="paragraph" w:styleId="Textodenotaderodap">
    <w:name w:val="footnote text"/>
    <w:aliases w:val="Char,Texto de rodapé,Nota de Rodapé ABNT,Nota de rodapé,fn,Texto de nota de rodapé Char Char,Car,Char Char Char,ALTS FOOTNOTE, Char"/>
    <w:basedOn w:val="Normal"/>
    <w:link w:val="TextodenotaderodapChar"/>
    <w:uiPriority w:val="99"/>
    <w:unhideWhenUsed/>
    <w:qFormat/>
    <w:rsid w:val="00A00129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aliases w:val="Char Char,Texto de rodapé Char,Nota de Rodapé ABNT Char,Nota de rodapé Char,fn Char,Texto de nota de rodapé Char Char Char,Car Char,Char Char Char Char,ALTS FOOTNOTE Char, Char Char"/>
    <w:basedOn w:val="Fontepargpadro"/>
    <w:link w:val="Textodenotaderodap"/>
    <w:uiPriority w:val="99"/>
    <w:rsid w:val="00A00129"/>
    <w:rPr>
      <w:sz w:val="20"/>
      <w:szCs w:val="20"/>
    </w:rPr>
  </w:style>
  <w:style w:type="character" w:styleId="Refdenotaderodap">
    <w:name w:val="footnote reference"/>
    <w:aliases w:val="sobrescrito"/>
    <w:basedOn w:val="Fontepargpadro"/>
    <w:uiPriority w:val="99"/>
    <w:unhideWhenUsed/>
    <w:rsid w:val="00A00129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936F0F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36F0F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2732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73225"/>
  </w:style>
  <w:style w:type="paragraph" w:styleId="Rodap">
    <w:name w:val="footer"/>
    <w:basedOn w:val="Normal"/>
    <w:link w:val="RodapChar"/>
    <w:uiPriority w:val="99"/>
    <w:unhideWhenUsed/>
    <w:rsid w:val="002732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732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b6b2f1-3e6c-495a-b1c4-12788e5228c2">
      <Terms xmlns="http://schemas.microsoft.com/office/infopath/2007/PartnerControls"/>
    </lcf76f155ced4ddcb4097134ff3c332f>
    <TaxCatchAll xmlns="1fc2efa0-9390-4483-9920-265da04475a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4FFA0FE8055AC4EBC7BF20544E6C0F6" ma:contentTypeVersion="12" ma:contentTypeDescription="Crie um novo documento." ma:contentTypeScope="" ma:versionID="0c2080ff4f5c4c14540574f4c58cbc38">
  <xsd:schema xmlns:xsd="http://www.w3.org/2001/XMLSchema" xmlns:xs="http://www.w3.org/2001/XMLSchema" xmlns:p="http://schemas.microsoft.com/office/2006/metadata/properties" xmlns:ns2="94b6b2f1-3e6c-495a-b1c4-12788e5228c2" xmlns:ns3="1fc2efa0-9390-4483-9920-265da04475a3" targetNamespace="http://schemas.microsoft.com/office/2006/metadata/properties" ma:root="true" ma:fieldsID="7558b014c5928dad7fdf8f711820fee2" ns2:_="" ns3:_="">
    <xsd:import namespace="94b6b2f1-3e6c-495a-b1c4-12788e5228c2"/>
    <xsd:import namespace="1fc2efa0-9390-4483-9920-265da04475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b6b2f1-3e6c-495a-b1c4-12788e5228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b1b501ca-7ee5-494e-b7e6-332ed12c3f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c2efa0-9390-4483-9920-265da04475a3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c368785-362b-4dd6-ac70-9a92740401fb}" ma:internalName="TaxCatchAll" ma:showField="CatchAllData" ma:web="1fc2efa0-9390-4483-9920-265da04475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46925F-F33E-4175-BDA3-184BDE92CCA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598B962-F2CB-4AC8-9446-84629DFA16CB}">
  <ds:schemaRefs>
    <ds:schemaRef ds:uri="http://schemas.microsoft.com/office/2006/metadata/properties"/>
    <ds:schemaRef ds:uri="http://schemas.microsoft.com/office/infopath/2007/PartnerControls"/>
    <ds:schemaRef ds:uri="94b6b2f1-3e6c-495a-b1c4-12788e5228c2"/>
    <ds:schemaRef ds:uri="1fc2efa0-9390-4483-9920-265da04475a3"/>
  </ds:schemaRefs>
</ds:datastoreItem>
</file>

<file path=customXml/itemProps3.xml><?xml version="1.0" encoding="utf-8"?>
<ds:datastoreItem xmlns:ds="http://schemas.openxmlformats.org/officeDocument/2006/customXml" ds:itemID="{778AD45B-C803-4F1F-9A45-2ED8876A47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b6b2f1-3e6c-495a-b1c4-12788e5228c2"/>
    <ds:schemaRef ds:uri="1fc2efa0-9390-4483-9920-265da04475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6E71499-0769-4F48-BA17-4FE627A0F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2852</Words>
  <Characters>15407</Characters>
  <Application>Microsoft Office Word</Application>
  <DocSecurity>0</DocSecurity>
  <Lines>128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Flávia Silva Pinto Amorim</dc:creator>
  <cp:keywords/>
  <dc:description/>
  <cp:lastModifiedBy>Silvana Deolinda</cp:lastModifiedBy>
  <cp:revision>2</cp:revision>
  <dcterms:created xsi:type="dcterms:W3CDTF">2026-06-03T16:09:00Z</dcterms:created>
  <dcterms:modified xsi:type="dcterms:W3CDTF">2026-06-03T16:09:00Z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0x01010034FFA0FE8055AC4EBC7BF20544E6C0F6</vt:lpwstr>
  </property>
  <property fmtid="{D5CDD505-2E9C-101B-9397-08002B2CF9AE}" pid="3" name="MediaServiceImageTags">
    <vt:lpwstr/>
  </property>
</Properties>
</file>